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8F" w:rsidRDefault="00FD1153" w:rsidP="00584BE6">
      <w:pPr>
        <w:pStyle w:val="Headlines"/>
      </w:pPr>
      <w:r>
        <w:rPr>
          <w:noProof/>
          <w:lang w:eastAsia="en-AU"/>
        </w:rPr>
        <mc:AlternateContent>
          <mc:Choice Requires="wps">
            <w:drawing>
              <wp:anchor distT="0" distB="0" distL="114300" distR="114300" simplePos="0" relativeHeight="251659264" behindDoc="0" locked="0" layoutInCell="1" allowOverlap="1" wp14:anchorId="253E338B" wp14:editId="5E4C12B7">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rsidR="00FD1153" w:rsidRDefault="00FD1153" w:rsidP="00FD1153">
                            <w:r>
                              <w:rPr>
                                <w:noProof/>
                                <w:lang w:eastAsia="en-AU"/>
                              </w:rPr>
                              <w:drawing>
                                <wp:inline distT="0" distB="0" distL="0" distR="0" wp14:anchorId="1F2481F0" wp14:editId="56999C4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E338B"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FD1153" w:rsidRDefault="00FD1153" w:rsidP="00FD1153">
                      <w:r>
                        <w:rPr>
                          <w:noProof/>
                          <w:lang w:eastAsia="en-AU"/>
                        </w:rPr>
                        <w:drawing>
                          <wp:inline distT="0" distB="0" distL="0" distR="0" wp14:anchorId="1F2481F0" wp14:editId="56999C4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1A6563">
        <w:t>Complaints Management Policy</w:t>
      </w:r>
    </w:p>
    <w:p w:rsidR="001A6563" w:rsidRPr="00D511B0" w:rsidRDefault="001A6563" w:rsidP="001A6563">
      <w:pPr>
        <w:pStyle w:val="Heading1"/>
        <w:ind w:left="1134"/>
        <w:rPr>
          <w:rFonts w:eastAsia="Calibri"/>
          <w:b w:val="0"/>
          <w:bCs w:val="0"/>
          <w:sz w:val="44"/>
          <w:szCs w:val="44"/>
        </w:rPr>
      </w:pPr>
      <w:bookmarkStart w:id="0" w:name="_Toc535320228"/>
      <w:r w:rsidRPr="00D511B0">
        <w:rPr>
          <w:rFonts w:eastAsia="Calibri"/>
          <w:b w:val="0"/>
          <w:bCs w:val="0"/>
          <w:sz w:val="44"/>
          <w:szCs w:val="44"/>
        </w:rPr>
        <w:t>Consultation paper</w:t>
      </w:r>
      <w:bookmarkEnd w:id="0"/>
    </w:p>
    <w:p w:rsidR="001A6563" w:rsidRPr="00D511B0" w:rsidRDefault="00BC2674" w:rsidP="001A6563">
      <w:pPr>
        <w:ind w:left="1134"/>
        <w:rPr>
          <w:color w:val="851130" w:themeColor="accent1"/>
          <w:sz w:val="44"/>
          <w:szCs w:val="44"/>
        </w:rPr>
      </w:pPr>
      <w:r>
        <w:rPr>
          <w:color w:val="851130" w:themeColor="accent1"/>
          <w:sz w:val="44"/>
          <w:szCs w:val="44"/>
        </w:rPr>
        <w:t>May</w:t>
      </w:r>
      <w:r w:rsidR="001A6563" w:rsidRPr="00D511B0">
        <w:rPr>
          <w:color w:val="851130" w:themeColor="accent1"/>
          <w:sz w:val="44"/>
          <w:szCs w:val="44"/>
        </w:rPr>
        <w:t xml:space="preserve"> 2019</w:t>
      </w:r>
    </w:p>
    <w:p w:rsidR="001A6563" w:rsidRDefault="001A6563" w:rsidP="001A6563">
      <w:pPr>
        <w:pStyle w:val="Heading1"/>
      </w:pPr>
    </w:p>
    <w:p w:rsidR="001A6563" w:rsidRPr="001A6563" w:rsidRDefault="001A6563" w:rsidP="001A6563">
      <w:pPr>
        <w:sectPr w:rsidR="001A6563" w:rsidRPr="001A6563" w:rsidSect="00E5742D">
          <w:headerReference w:type="default" r:id="rId12"/>
          <w:footerReference w:type="default" r:id="rId13"/>
          <w:pgSz w:w="11906" w:h="16838"/>
          <w:pgMar w:top="4395" w:right="688" w:bottom="851" w:left="851" w:header="709" w:footer="441" w:gutter="0"/>
          <w:cols w:space="708"/>
          <w:docGrid w:linePitch="360"/>
        </w:sectPr>
      </w:pPr>
    </w:p>
    <w:p w:rsidR="0064686E" w:rsidRDefault="0064686E">
      <w:pPr>
        <w:pStyle w:val="TOCHeading"/>
      </w:pPr>
      <w:r>
        <w:lastRenderedPageBreak/>
        <w:t>Contents</w:t>
      </w:r>
    </w:p>
    <w:p w:rsidR="00B73135"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535320228" w:history="1">
        <w:r w:rsidR="00B73135" w:rsidRPr="009A78FA">
          <w:rPr>
            <w:rStyle w:val="Hyperlink"/>
          </w:rPr>
          <w:t>Consultation paper</w:t>
        </w:r>
        <w:r w:rsidR="00B73135">
          <w:rPr>
            <w:webHidden/>
          </w:rPr>
          <w:tab/>
        </w:r>
        <w:r w:rsidR="00B73135">
          <w:rPr>
            <w:webHidden/>
          </w:rPr>
          <w:fldChar w:fldCharType="begin"/>
        </w:r>
        <w:r w:rsidR="00B73135">
          <w:rPr>
            <w:webHidden/>
          </w:rPr>
          <w:instrText xml:space="preserve"> PAGEREF _Toc535320228 \h </w:instrText>
        </w:r>
        <w:r w:rsidR="00B73135">
          <w:rPr>
            <w:webHidden/>
          </w:rPr>
        </w:r>
        <w:r w:rsidR="00B73135">
          <w:rPr>
            <w:webHidden/>
          </w:rPr>
          <w:fldChar w:fldCharType="separate"/>
        </w:r>
        <w:r w:rsidR="00B73135">
          <w:rPr>
            <w:webHidden/>
          </w:rPr>
          <w:t>1</w:t>
        </w:r>
        <w:r w:rsidR="00B73135">
          <w:rPr>
            <w:webHidden/>
          </w:rPr>
          <w:fldChar w:fldCharType="end"/>
        </w:r>
      </w:hyperlink>
    </w:p>
    <w:p w:rsidR="00B73135" w:rsidRDefault="00C2527B">
      <w:pPr>
        <w:pStyle w:val="TOC1"/>
        <w:rPr>
          <w:rFonts w:asciiTheme="minorHAnsi" w:eastAsiaTheme="minorEastAsia" w:hAnsiTheme="minorHAnsi" w:cstheme="minorBidi"/>
          <w:sz w:val="22"/>
          <w:lang w:eastAsia="en-AU"/>
        </w:rPr>
      </w:pPr>
      <w:hyperlink w:anchor="_Toc535320229" w:history="1">
        <w:r w:rsidR="00B73135" w:rsidRPr="009A78FA">
          <w:rPr>
            <w:rStyle w:val="Hyperlink"/>
          </w:rPr>
          <w:t>Background</w:t>
        </w:r>
        <w:r w:rsidR="00B73135">
          <w:rPr>
            <w:webHidden/>
          </w:rPr>
          <w:tab/>
        </w:r>
        <w:r w:rsidR="00B73135">
          <w:rPr>
            <w:webHidden/>
          </w:rPr>
          <w:fldChar w:fldCharType="begin"/>
        </w:r>
        <w:r w:rsidR="00B73135">
          <w:rPr>
            <w:webHidden/>
          </w:rPr>
          <w:instrText xml:space="preserve"> PAGEREF _Toc535320229 \h </w:instrText>
        </w:r>
        <w:r w:rsidR="00B73135">
          <w:rPr>
            <w:webHidden/>
          </w:rPr>
        </w:r>
        <w:r w:rsidR="00B73135">
          <w:rPr>
            <w:webHidden/>
          </w:rPr>
          <w:fldChar w:fldCharType="separate"/>
        </w:r>
        <w:r w:rsidR="00B73135">
          <w:rPr>
            <w:webHidden/>
          </w:rPr>
          <w:t>2</w:t>
        </w:r>
        <w:r w:rsidR="00B73135">
          <w:rPr>
            <w:webHidden/>
          </w:rPr>
          <w:fldChar w:fldCharType="end"/>
        </w:r>
      </w:hyperlink>
    </w:p>
    <w:p w:rsidR="00B73135" w:rsidRDefault="00C2527B">
      <w:pPr>
        <w:pStyle w:val="TOC1"/>
        <w:rPr>
          <w:rFonts w:asciiTheme="minorHAnsi" w:eastAsiaTheme="minorEastAsia" w:hAnsiTheme="minorHAnsi" w:cstheme="minorBidi"/>
          <w:sz w:val="22"/>
          <w:lang w:eastAsia="en-AU"/>
        </w:rPr>
      </w:pPr>
      <w:hyperlink w:anchor="_Toc535320230" w:history="1">
        <w:r w:rsidR="00B73135" w:rsidRPr="009A78FA">
          <w:rPr>
            <w:rStyle w:val="Hyperlink"/>
          </w:rPr>
          <w:t>Consultation process</w:t>
        </w:r>
        <w:r w:rsidR="00B73135">
          <w:rPr>
            <w:webHidden/>
          </w:rPr>
          <w:tab/>
        </w:r>
        <w:r w:rsidR="00B73135">
          <w:rPr>
            <w:webHidden/>
          </w:rPr>
          <w:fldChar w:fldCharType="begin"/>
        </w:r>
        <w:r w:rsidR="00B73135">
          <w:rPr>
            <w:webHidden/>
          </w:rPr>
          <w:instrText xml:space="preserve"> PAGEREF _Toc535320230 \h </w:instrText>
        </w:r>
        <w:r w:rsidR="00B73135">
          <w:rPr>
            <w:webHidden/>
          </w:rPr>
        </w:r>
        <w:r w:rsidR="00B73135">
          <w:rPr>
            <w:webHidden/>
          </w:rPr>
          <w:fldChar w:fldCharType="separate"/>
        </w:r>
        <w:r w:rsidR="00B73135">
          <w:rPr>
            <w:webHidden/>
          </w:rPr>
          <w:t>2</w:t>
        </w:r>
        <w:r w:rsidR="00B73135">
          <w:rPr>
            <w:webHidden/>
          </w:rPr>
          <w:fldChar w:fldCharType="end"/>
        </w:r>
      </w:hyperlink>
    </w:p>
    <w:p w:rsidR="00B73135" w:rsidRDefault="00C2527B">
      <w:pPr>
        <w:pStyle w:val="TOC1"/>
        <w:rPr>
          <w:rFonts w:asciiTheme="minorHAnsi" w:eastAsiaTheme="minorEastAsia" w:hAnsiTheme="minorHAnsi" w:cstheme="minorBidi"/>
          <w:sz w:val="22"/>
          <w:lang w:eastAsia="en-AU"/>
        </w:rPr>
      </w:pPr>
      <w:hyperlink w:anchor="_Toc535320231" w:history="1">
        <w:r w:rsidR="00B73135" w:rsidRPr="009A78FA">
          <w:rPr>
            <w:rStyle w:val="Hyperlink"/>
          </w:rPr>
          <w:t>Complaints management consultation</w:t>
        </w:r>
        <w:r w:rsidR="00B73135">
          <w:rPr>
            <w:webHidden/>
          </w:rPr>
          <w:tab/>
        </w:r>
        <w:r w:rsidR="00B73135">
          <w:rPr>
            <w:webHidden/>
          </w:rPr>
          <w:fldChar w:fldCharType="begin"/>
        </w:r>
        <w:r w:rsidR="00B73135">
          <w:rPr>
            <w:webHidden/>
          </w:rPr>
          <w:instrText xml:space="preserve"> PAGEREF _Toc535320231 \h </w:instrText>
        </w:r>
        <w:r w:rsidR="00B73135">
          <w:rPr>
            <w:webHidden/>
          </w:rPr>
        </w:r>
        <w:r w:rsidR="00B73135">
          <w:rPr>
            <w:webHidden/>
          </w:rPr>
          <w:fldChar w:fldCharType="separate"/>
        </w:r>
        <w:r w:rsidR="00B73135">
          <w:rPr>
            <w:webHidden/>
          </w:rPr>
          <w:t>2</w:t>
        </w:r>
        <w:r w:rsidR="00B73135">
          <w:rPr>
            <w:webHidden/>
          </w:rPr>
          <w:fldChar w:fldCharType="end"/>
        </w:r>
      </w:hyperlink>
    </w:p>
    <w:p w:rsidR="00B73135" w:rsidRDefault="00C2527B">
      <w:pPr>
        <w:pStyle w:val="TOC2"/>
        <w:rPr>
          <w:rFonts w:asciiTheme="minorHAnsi" w:eastAsiaTheme="minorEastAsia" w:hAnsiTheme="minorHAnsi" w:cstheme="minorBidi"/>
          <w:noProof/>
          <w:sz w:val="22"/>
          <w:lang w:eastAsia="en-AU"/>
        </w:rPr>
      </w:pPr>
      <w:hyperlink w:anchor="_Toc535320232" w:history="1">
        <w:r w:rsidR="00B73135" w:rsidRPr="009A78FA">
          <w:rPr>
            <w:rStyle w:val="Hyperlink"/>
            <w:noProof/>
          </w:rPr>
          <w:t>Complaints Management policy</w:t>
        </w:r>
        <w:r w:rsidR="00B73135">
          <w:rPr>
            <w:noProof/>
            <w:webHidden/>
          </w:rPr>
          <w:tab/>
        </w:r>
        <w:r w:rsidR="00B73135">
          <w:rPr>
            <w:noProof/>
            <w:webHidden/>
          </w:rPr>
          <w:fldChar w:fldCharType="begin"/>
        </w:r>
        <w:r w:rsidR="00B73135">
          <w:rPr>
            <w:noProof/>
            <w:webHidden/>
          </w:rPr>
          <w:instrText xml:space="preserve"> PAGEREF _Toc535320232 \h </w:instrText>
        </w:r>
        <w:r w:rsidR="00B73135">
          <w:rPr>
            <w:noProof/>
            <w:webHidden/>
          </w:rPr>
        </w:r>
        <w:r w:rsidR="00B73135">
          <w:rPr>
            <w:noProof/>
            <w:webHidden/>
          </w:rPr>
          <w:fldChar w:fldCharType="separate"/>
        </w:r>
        <w:r w:rsidR="00B73135">
          <w:rPr>
            <w:noProof/>
            <w:webHidden/>
          </w:rPr>
          <w:t>3</w:t>
        </w:r>
        <w:r w:rsidR="00B73135">
          <w:rPr>
            <w:noProof/>
            <w:webHidden/>
          </w:rPr>
          <w:fldChar w:fldCharType="end"/>
        </w:r>
      </w:hyperlink>
    </w:p>
    <w:p w:rsidR="00B73135" w:rsidRDefault="00C2527B">
      <w:pPr>
        <w:pStyle w:val="TOC2"/>
        <w:rPr>
          <w:rFonts w:asciiTheme="minorHAnsi" w:eastAsiaTheme="minorEastAsia" w:hAnsiTheme="minorHAnsi" w:cstheme="minorBidi"/>
          <w:noProof/>
          <w:sz w:val="22"/>
          <w:lang w:eastAsia="en-AU"/>
        </w:rPr>
      </w:pPr>
      <w:hyperlink w:anchor="_Toc535320233" w:history="1">
        <w:r w:rsidR="00B73135" w:rsidRPr="009A78FA">
          <w:rPr>
            <w:rStyle w:val="Hyperlink"/>
            <w:noProof/>
          </w:rPr>
          <w:t>Complaints Management Guideline</w:t>
        </w:r>
        <w:r w:rsidR="00B73135">
          <w:rPr>
            <w:noProof/>
            <w:webHidden/>
          </w:rPr>
          <w:tab/>
        </w:r>
        <w:r w:rsidR="00B73135">
          <w:rPr>
            <w:noProof/>
            <w:webHidden/>
          </w:rPr>
          <w:fldChar w:fldCharType="begin"/>
        </w:r>
        <w:r w:rsidR="00B73135">
          <w:rPr>
            <w:noProof/>
            <w:webHidden/>
          </w:rPr>
          <w:instrText xml:space="preserve"> PAGEREF _Toc535320233 \h </w:instrText>
        </w:r>
        <w:r w:rsidR="00B73135">
          <w:rPr>
            <w:noProof/>
            <w:webHidden/>
          </w:rPr>
        </w:r>
        <w:r w:rsidR="00B73135">
          <w:rPr>
            <w:noProof/>
            <w:webHidden/>
          </w:rPr>
          <w:fldChar w:fldCharType="separate"/>
        </w:r>
        <w:r w:rsidR="00B73135">
          <w:rPr>
            <w:noProof/>
            <w:webHidden/>
          </w:rPr>
          <w:t>4</w:t>
        </w:r>
        <w:r w:rsidR="00B73135">
          <w:rPr>
            <w:noProof/>
            <w:webHidden/>
          </w:rPr>
          <w:fldChar w:fldCharType="end"/>
        </w:r>
      </w:hyperlink>
    </w:p>
    <w:p w:rsidR="00B73135" w:rsidRDefault="00C2527B">
      <w:pPr>
        <w:pStyle w:val="TOC2"/>
        <w:rPr>
          <w:rFonts w:asciiTheme="minorHAnsi" w:eastAsiaTheme="minorEastAsia" w:hAnsiTheme="minorHAnsi" w:cstheme="minorBidi"/>
          <w:noProof/>
          <w:sz w:val="22"/>
          <w:lang w:eastAsia="en-AU"/>
        </w:rPr>
      </w:pPr>
      <w:hyperlink w:anchor="_Toc535320234" w:history="1">
        <w:r w:rsidR="00B73135" w:rsidRPr="009A78FA">
          <w:rPr>
            <w:rStyle w:val="Hyperlink"/>
            <w:noProof/>
          </w:rPr>
          <w:t>Complaints Management Toolkit</w:t>
        </w:r>
        <w:r w:rsidR="00B73135">
          <w:rPr>
            <w:noProof/>
            <w:webHidden/>
          </w:rPr>
          <w:tab/>
        </w:r>
        <w:r w:rsidR="00B73135">
          <w:rPr>
            <w:noProof/>
            <w:webHidden/>
          </w:rPr>
          <w:fldChar w:fldCharType="begin"/>
        </w:r>
        <w:r w:rsidR="00B73135">
          <w:rPr>
            <w:noProof/>
            <w:webHidden/>
          </w:rPr>
          <w:instrText xml:space="preserve"> PAGEREF _Toc535320234 \h </w:instrText>
        </w:r>
        <w:r w:rsidR="00B73135">
          <w:rPr>
            <w:noProof/>
            <w:webHidden/>
          </w:rPr>
        </w:r>
        <w:r w:rsidR="00B73135">
          <w:rPr>
            <w:noProof/>
            <w:webHidden/>
          </w:rPr>
          <w:fldChar w:fldCharType="separate"/>
        </w:r>
        <w:r w:rsidR="00B73135">
          <w:rPr>
            <w:noProof/>
            <w:webHidden/>
          </w:rPr>
          <w:t>6</w:t>
        </w:r>
        <w:r w:rsidR="00B73135">
          <w:rPr>
            <w:noProof/>
            <w:webHidden/>
          </w:rPr>
          <w:fldChar w:fldCharType="end"/>
        </w:r>
      </w:hyperlink>
    </w:p>
    <w:p w:rsidR="00B73135" w:rsidRDefault="00C2527B">
      <w:pPr>
        <w:pStyle w:val="TOC2"/>
        <w:rPr>
          <w:rFonts w:asciiTheme="minorHAnsi" w:eastAsiaTheme="minorEastAsia" w:hAnsiTheme="minorHAnsi" w:cstheme="minorBidi"/>
          <w:noProof/>
          <w:sz w:val="22"/>
          <w:lang w:eastAsia="en-AU"/>
        </w:rPr>
      </w:pPr>
      <w:hyperlink w:anchor="_Toc535320235" w:history="1">
        <w:r w:rsidR="00B73135" w:rsidRPr="009A78FA">
          <w:rPr>
            <w:rStyle w:val="Hyperlink"/>
            <w:noProof/>
          </w:rPr>
          <w:t>Additional Feedback</w:t>
        </w:r>
        <w:r w:rsidR="00B73135">
          <w:rPr>
            <w:noProof/>
            <w:webHidden/>
          </w:rPr>
          <w:tab/>
        </w:r>
        <w:r w:rsidR="00B73135">
          <w:rPr>
            <w:noProof/>
            <w:webHidden/>
          </w:rPr>
          <w:fldChar w:fldCharType="begin"/>
        </w:r>
        <w:r w:rsidR="00B73135">
          <w:rPr>
            <w:noProof/>
            <w:webHidden/>
          </w:rPr>
          <w:instrText xml:space="preserve"> PAGEREF _Toc535320235 \h </w:instrText>
        </w:r>
        <w:r w:rsidR="00B73135">
          <w:rPr>
            <w:noProof/>
            <w:webHidden/>
          </w:rPr>
        </w:r>
        <w:r w:rsidR="00B73135">
          <w:rPr>
            <w:noProof/>
            <w:webHidden/>
          </w:rPr>
          <w:fldChar w:fldCharType="separate"/>
        </w:r>
        <w:r w:rsidR="00B73135">
          <w:rPr>
            <w:noProof/>
            <w:webHidden/>
          </w:rPr>
          <w:t>6</w:t>
        </w:r>
        <w:r w:rsidR="00B73135">
          <w:rPr>
            <w:noProof/>
            <w:webHidden/>
          </w:rPr>
          <w:fldChar w:fldCharType="end"/>
        </w:r>
      </w:hyperlink>
    </w:p>
    <w:p w:rsidR="0064686E" w:rsidRDefault="0064686E">
      <w:r>
        <w:rPr>
          <w:b/>
          <w:bCs/>
          <w:noProof/>
        </w:rPr>
        <w:fldChar w:fldCharType="end"/>
      </w:r>
    </w:p>
    <w:p w:rsidR="001D03AE" w:rsidRDefault="001D03AE" w:rsidP="00863A06">
      <w:pPr>
        <w:pStyle w:val="Heading1"/>
        <w:sectPr w:rsidR="001D03AE" w:rsidSect="00584BE6">
          <w:headerReference w:type="default" r:id="rId14"/>
          <w:footerReference w:type="default" r:id="rId15"/>
          <w:pgSz w:w="11906" w:h="16838"/>
          <w:pgMar w:top="851" w:right="851" w:bottom="1418" w:left="851" w:header="709" w:footer="397" w:gutter="0"/>
          <w:pgNumType w:start="1"/>
          <w:cols w:space="708"/>
          <w:docGrid w:linePitch="360"/>
        </w:sectPr>
      </w:pPr>
    </w:p>
    <w:p w:rsidR="00863A06" w:rsidRDefault="001A6563" w:rsidP="00863A06">
      <w:pPr>
        <w:pStyle w:val="Heading1"/>
      </w:pPr>
      <w:bookmarkStart w:id="1" w:name="_Toc535320229"/>
      <w:r>
        <w:lastRenderedPageBreak/>
        <w:t>Background</w:t>
      </w:r>
      <w:bookmarkEnd w:id="1"/>
    </w:p>
    <w:p w:rsidR="000B244A" w:rsidRDefault="00367B72" w:rsidP="00297CB4">
      <w:r>
        <w:t xml:space="preserve">The current </w:t>
      </w:r>
      <w:hyperlink r:id="rId16" w:history="1">
        <w:r w:rsidR="001D03AE" w:rsidRPr="00C349DD">
          <w:rPr>
            <w:rStyle w:val="Hyperlink"/>
          </w:rPr>
          <w:t>WA Health Complaint Management Policy (OD</w:t>
        </w:r>
        <w:r w:rsidR="00C349DD" w:rsidRPr="00C349DD">
          <w:rPr>
            <w:rStyle w:val="Hyperlink"/>
          </w:rPr>
          <w:t xml:space="preserve"> 0455/13</w:t>
        </w:r>
        <w:r w:rsidR="001D03AE" w:rsidRPr="00C349DD">
          <w:rPr>
            <w:rStyle w:val="Hyperlink"/>
          </w:rPr>
          <w:t>)</w:t>
        </w:r>
      </w:hyperlink>
      <w:r w:rsidR="001D03AE">
        <w:t xml:space="preserve"> (2015 Policy) is now due for review. </w:t>
      </w:r>
      <w:r w:rsidR="00A52C76">
        <w:t xml:space="preserve">The 2015 Policy supersedes the WA </w:t>
      </w:r>
      <w:r w:rsidR="009613BC">
        <w:t xml:space="preserve">Health Complaints Management Policy issued in 2013. The purpose of the 2015 Policy is to </w:t>
      </w:r>
      <w:r w:rsidR="009613BC" w:rsidRPr="009613BC">
        <w:t xml:space="preserve">set out the procedures for the management of feedback or complaints relating to </w:t>
      </w:r>
      <w:r w:rsidR="009F63ED">
        <w:t>WA h</w:t>
      </w:r>
      <w:r w:rsidR="009613BC" w:rsidRPr="009613BC">
        <w:t>ealth s</w:t>
      </w:r>
      <w:r w:rsidR="009F63ED">
        <w:t>ystem</w:t>
      </w:r>
      <w:r w:rsidR="00A8408D" w:rsidRPr="00A8408D">
        <w:t xml:space="preserve"> </w:t>
      </w:r>
      <w:r w:rsidR="00A8408D">
        <w:t>services</w:t>
      </w:r>
      <w:r w:rsidR="009613BC" w:rsidRPr="009613BC">
        <w:t xml:space="preserve">. The </w:t>
      </w:r>
      <w:r w:rsidR="000B244A">
        <w:t xml:space="preserve">2015 </w:t>
      </w:r>
      <w:r w:rsidR="009613BC" w:rsidRPr="009613BC">
        <w:t xml:space="preserve">Policy promotes best practice in complaints management by WA </w:t>
      </w:r>
      <w:r w:rsidR="009F63ED">
        <w:t>Health S</w:t>
      </w:r>
      <w:r w:rsidR="009613BC" w:rsidRPr="009613BC">
        <w:t>ervice</w:t>
      </w:r>
      <w:r w:rsidR="009F63ED">
        <w:t xml:space="preserve"> Provider</w:t>
      </w:r>
      <w:r w:rsidR="009613BC" w:rsidRPr="009613BC">
        <w:t>s and advocates an efficient, proactive approach to complaint management that results in the best possible outcomes for health consumers</w:t>
      </w:r>
      <w:r w:rsidR="000B244A">
        <w:t xml:space="preserve">. </w:t>
      </w:r>
    </w:p>
    <w:p w:rsidR="00863A06" w:rsidRDefault="000B244A" w:rsidP="00297CB4">
      <w:r>
        <w:t xml:space="preserve">The 2015 Policy is a mandatory component of the </w:t>
      </w:r>
      <w:hyperlink r:id="rId17" w:history="1">
        <w:r w:rsidRPr="00117725">
          <w:rPr>
            <w:rStyle w:val="Hyperlink"/>
          </w:rPr>
          <w:t>Clinical Governance, Safety and Quality Policy Framework</w:t>
        </w:r>
      </w:hyperlink>
      <w:r>
        <w:t xml:space="preserve"> issued under the </w:t>
      </w:r>
      <w:r w:rsidRPr="00A27221">
        <w:rPr>
          <w:i/>
        </w:rPr>
        <w:t xml:space="preserve">Health </w:t>
      </w:r>
      <w:r>
        <w:rPr>
          <w:i/>
        </w:rPr>
        <w:t>S</w:t>
      </w:r>
      <w:r w:rsidRPr="00A27221">
        <w:rPr>
          <w:i/>
        </w:rPr>
        <w:t>ervices Act 2016</w:t>
      </w:r>
      <w:r>
        <w:rPr>
          <w:i/>
        </w:rPr>
        <w:t xml:space="preserve"> </w:t>
      </w:r>
      <w:r>
        <w:t>(</w:t>
      </w:r>
      <w:r w:rsidR="00ED0136">
        <w:t xml:space="preserve">the </w:t>
      </w:r>
      <w:r w:rsidRPr="00DC1156">
        <w:t>Act)</w:t>
      </w:r>
      <w:r>
        <w:t>. The Department of Health’s (</w:t>
      </w:r>
      <w:r w:rsidR="00A8408D">
        <w:t xml:space="preserve">the </w:t>
      </w:r>
      <w:r>
        <w:t xml:space="preserve">Department) Patient Safety Surveillance Unit (PSSU) is responsible for oversight of the </w:t>
      </w:r>
      <w:r w:rsidR="00E42313">
        <w:t>2015</w:t>
      </w:r>
      <w:r>
        <w:t xml:space="preserve"> Policy</w:t>
      </w:r>
      <w:r w:rsidR="00721B6A">
        <w:t xml:space="preserve"> and is data custodian of the Datix Consumer Feedback Module (CFM), the system used to record and report complaints about the WA health system.  </w:t>
      </w:r>
    </w:p>
    <w:p w:rsidR="00E42313" w:rsidRDefault="00E42313" w:rsidP="00297CB4">
      <w:r>
        <w:t>The PSSU has draft</w:t>
      </w:r>
      <w:r w:rsidR="00396553">
        <w:t>ed</w:t>
      </w:r>
      <w:r>
        <w:t xml:space="preserve"> an updated suite of Complaints Management documents informed by available local policies and procedures, and best-practice literature regarding complaints management processes. This work has been done in consultation with the Department’s System Governance and Assurance (SGA</w:t>
      </w:r>
      <w:r w:rsidR="004F09A7">
        <w:t>) u</w:t>
      </w:r>
      <w:r>
        <w:t>nit. Broad consultation with the WA health system is now being undertaken.</w:t>
      </w:r>
    </w:p>
    <w:p w:rsidR="001A6563" w:rsidRDefault="001A6563" w:rsidP="001A6563">
      <w:pPr>
        <w:pStyle w:val="Heading1"/>
      </w:pPr>
      <w:bookmarkStart w:id="2" w:name="_Toc535320230"/>
      <w:r>
        <w:t>Consultation process</w:t>
      </w:r>
      <w:bookmarkEnd w:id="2"/>
    </w:p>
    <w:p w:rsidR="00C77F34" w:rsidRDefault="00BE58E8" w:rsidP="00BE58E8">
      <w:r w:rsidRPr="00BE58E8">
        <w:t xml:space="preserve">The draft suite of </w:t>
      </w:r>
      <w:r w:rsidR="005B2ACD">
        <w:t>Complaints Management</w:t>
      </w:r>
      <w:r w:rsidRPr="00BE58E8">
        <w:t xml:space="preserve"> documents is available to the WA public health system from the PSSU’s </w:t>
      </w:r>
      <w:hyperlink r:id="rId18" w:history="1">
        <w:r w:rsidR="005B2ACD" w:rsidRPr="005B2ACD">
          <w:rPr>
            <w:rStyle w:val="Hyperlink"/>
          </w:rPr>
          <w:t>Consumer Feedback</w:t>
        </w:r>
      </w:hyperlink>
      <w:r w:rsidR="005B2ACD">
        <w:t xml:space="preserve"> </w:t>
      </w:r>
      <w:r w:rsidRPr="00BE58E8">
        <w:t xml:space="preserve">intranet page, and has been provided to relevant </w:t>
      </w:r>
      <w:r w:rsidR="001241E5">
        <w:t>contracted health entities</w:t>
      </w:r>
      <w:r w:rsidR="00FA160B">
        <w:t xml:space="preserve"> and other stakeholders</w:t>
      </w:r>
      <w:r w:rsidRPr="00BE58E8">
        <w:t xml:space="preserve">. Input from all levels and </w:t>
      </w:r>
      <w:r w:rsidR="00396553" w:rsidRPr="00BE58E8">
        <w:t>areas of the WA health system are</w:t>
      </w:r>
      <w:r w:rsidRPr="00BE58E8">
        <w:t xml:space="preserve"> being sought,</w:t>
      </w:r>
      <w:r w:rsidR="005B2ACD" w:rsidRPr="005B2ACD">
        <w:rPr>
          <w:rFonts w:eastAsiaTheme="minorHAnsi" w:cstheme="minorBidi"/>
        </w:rPr>
        <w:t xml:space="preserve"> </w:t>
      </w:r>
      <w:r w:rsidR="005B2ACD" w:rsidRPr="005B2ACD">
        <w:t>particularly from those that have a direct involvement in consumer feedback and consumer engagement processes.</w:t>
      </w:r>
      <w:r w:rsidR="00230C7E">
        <w:t xml:space="preserve"> </w:t>
      </w:r>
    </w:p>
    <w:p w:rsidR="00BE58E8" w:rsidRPr="00BE58E8" w:rsidRDefault="00BE58E8" w:rsidP="00BE58E8">
      <w:r w:rsidRPr="00BE58E8">
        <w:t xml:space="preserve">This paper contains discussion of the key features and changes proposed in the suite of </w:t>
      </w:r>
      <w:r w:rsidR="00E9240C">
        <w:t xml:space="preserve">Complaints Management </w:t>
      </w:r>
      <w:r w:rsidRPr="00BE58E8">
        <w:t xml:space="preserve">documents and a structured set of consultation questions. This paper must be read in conjunction with the suite of </w:t>
      </w:r>
      <w:r w:rsidR="00E9240C">
        <w:t>Complaints Management</w:t>
      </w:r>
      <w:r w:rsidRPr="00BE58E8">
        <w:t xml:space="preserve"> documents.</w:t>
      </w:r>
    </w:p>
    <w:p w:rsidR="00BE58E8" w:rsidRPr="00BE58E8" w:rsidRDefault="00D63599" w:rsidP="00BE58E8">
      <w:r>
        <w:t>Those</w:t>
      </w:r>
      <w:r w:rsidR="00BE58E8" w:rsidRPr="00BE58E8">
        <w:t xml:space="preserve"> wishing to respond to the </w:t>
      </w:r>
      <w:r>
        <w:t>Complaints Management</w:t>
      </w:r>
      <w:r w:rsidR="00BE58E8" w:rsidRPr="00BE58E8">
        <w:t xml:space="preserve"> consultation should complete the consultation response form and forward this to the PSSU via </w:t>
      </w:r>
      <w:hyperlink r:id="rId19" w:history="1">
        <w:r w:rsidR="00BE58E8" w:rsidRPr="00BE58E8">
          <w:rPr>
            <w:rStyle w:val="Hyperlink"/>
          </w:rPr>
          <w:t>PSSU@health.wa.gov.au</w:t>
        </w:r>
      </w:hyperlink>
      <w:r w:rsidR="00BE58E8" w:rsidRPr="00BE58E8">
        <w:t xml:space="preserve"> Respondents are welcome to address all or any of the consultation questions they feel are relevant to them.</w:t>
      </w:r>
    </w:p>
    <w:p w:rsidR="00BE58E8" w:rsidRPr="00BE58E8" w:rsidRDefault="00BE58E8" w:rsidP="00BE58E8">
      <w:r w:rsidRPr="00BE58E8">
        <w:t>Any queries regarding the consultation process should also be directed to the PSSU via email</w:t>
      </w:r>
      <w:r w:rsidR="00396553">
        <w:t xml:space="preserve"> at </w:t>
      </w:r>
      <w:hyperlink r:id="rId20" w:history="1">
        <w:r w:rsidR="00396553" w:rsidRPr="00BE58E8">
          <w:rPr>
            <w:rStyle w:val="Hyperlink"/>
          </w:rPr>
          <w:t>PSSU@health.wa.gov.au</w:t>
        </w:r>
      </w:hyperlink>
      <w:r w:rsidR="00396553">
        <w:rPr>
          <w:rStyle w:val="Hyperlink"/>
        </w:rPr>
        <w:t xml:space="preserve"> </w:t>
      </w:r>
      <w:r w:rsidRPr="00BE58E8">
        <w:t xml:space="preserve">The consultation period ends at close-of-business </w:t>
      </w:r>
      <w:r w:rsidR="00C2527B">
        <w:rPr>
          <w:b/>
        </w:rPr>
        <w:t>26</w:t>
      </w:r>
      <w:r w:rsidR="00F42DE5" w:rsidRPr="00F42DE5">
        <w:rPr>
          <w:b/>
        </w:rPr>
        <w:t xml:space="preserve"> </w:t>
      </w:r>
      <w:r w:rsidR="00C2527B">
        <w:rPr>
          <w:b/>
        </w:rPr>
        <w:t>Jul</w:t>
      </w:r>
      <w:r w:rsidR="00F42DE5" w:rsidRPr="00F42DE5">
        <w:rPr>
          <w:b/>
        </w:rPr>
        <w:t>y</w:t>
      </w:r>
      <w:r w:rsidRPr="00BE58E8">
        <w:rPr>
          <w:b/>
        </w:rPr>
        <w:t xml:space="preserve"> 201</w:t>
      </w:r>
      <w:r w:rsidR="00D63599">
        <w:rPr>
          <w:b/>
        </w:rPr>
        <w:t>9</w:t>
      </w:r>
      <w:r w:rsidRPr="00BE58E8">
        <w:rPr>
          <w:b/>
        </w:rPr>
        <w:t>.</w:t>
      </w:r>
    </w:p>
    <w:p w:rsidR="00BE58E8" w:rsidRPr="00BE58E8" w:rsidRDefault="00BE58E8" w:rsidP="00BE58E8">
      <w:r w:rsidRPr="00BE58E8">
        <w:t xml:space="preserve">Following review of the consultation responses the PSSU will make any amendments it considers necessary to the suite of </w:t>
      </w:r>
      <w:r w:rsidR="00FA5B2C">
        <w:t>Complaints Management</w:t>
      </w:r>
      <w:r w:rsidRPr="00BE58E8">
        <w:t xml:space="preserve"> documents before submitting them for approval by the Director General. A further</w:t>
      </w:r>
      <w:r w:rsidR="00FA5B2C">
        <w:t>/additional</w:t>
      </w:r>
      <w:r w:rsidRPr="00BE58E8">
        <w:t xml:space="preserve"> round of consultation with the WA health system is not planned.</w:t>
      </w:r>
    </w:p>
    <w:p w:rsidR="001A6563" w:rsidRDefault="00BE58E8" w:rsidP="001A6563">
      <w:r w:rsidRPr="00BE58E8">
        <w:t xml:space="preserve">The proposed commencement date for the new </w:t>
      </w:r>
      <w:r w:rsidR="00FA5B2C">
        <w:t>Complaints Management p</w:t>
      </w:r>
      <w:r w:rsidRPr="00BE58E8">
        <w:t xml:space="preserve">olicy is </w:t>
      </w:r>
      <w:r w:rsidRPr="00BE58E8">
        <w:rPr>
          <w:b/>
        </w:rPr>
        <w:t xml:space="preserve">1 </w:t>
      </w:r>
      <w:r w:rsidR="00C2527B">
        <w:rPr>
          <w:b/>
        </w:rPr>
        <w:t>Dec</w:t>
      </w:r>
      <w:r w:rsidR="00223C37">
        <w:rPr>
          <w:b/>
        </w:rPr>
        <w:t>ember</w:t>
      </w:r>
      <w:r w:rsidR="00FA5B2C">
        <w:rPr>
          <w:b/>
        </w:rPr>
        <w:t xml:space="preserve"> </w:t>
      </w:r>
      <w:r w:rsidRPr="00BE58E8">
        <w:rPr>
          <w:b/>
        </w:rPr>
        <w:t>2019</w:t>
      </w:r>
      <w:r w:rsidRPr="00BE58E8">
        <w:t>, subject to approval by the Director General.</w:t>
      </w:r>
    </w:p>
    <w:p w:rsidR="001A6563" w:rsidRDefault="001A6563" w:rsidP="001A6563">
      <w:pPr>
        <w:pStyle w:val="Heading1"/>
      </w:pPr>
      <w:bookmarkStart w:id="3" w:name="_Toc535320231"/>
      <w:r>
        <w:t>C</w:t>
      </w:r>
      <w:r w:rsidR="00E456A2">
        <w:t xml:space="preserve">omplaints </w:t>
      </w:r>
      <w:r w:rsidR="0032312B">
        <w:t>management c</w:t>
      </w:r>
      <w:r>
        <w:t>onsultation</w:t>
      </w:r>
      <w:bookmarkEnd w:id="3"/>
    </w:p>
    <w:p w:rsidR="00CC3A6D" w:rsidRPr="00CC3A6D" w:rsidRDefault="00CC3A6D" w:rsidP="00CC3A6D">
      <w:r w:rsidRPr="00CC3A6D">
        <w:t xml:space="preserve">The structure of the suite of </w:t>
      </w:r>
      <w:r>
        <w:t>Complaints Management</w:t>
      </w:r>
      <w:r w:rsidRPr="00CC3A6D">
        <w:t xml:space="preserve"> documents has been guided by the </w:t>
      </w:r>
      <w:r>
        <w:t>SGA</w:t>
      </w:r>
      <w:r w:rsidRPr="00CC3A6D">
        <w:t xml:space="preserve"> team to ensure they meet the requirements established for mandatory policies issued by the Department. The resultant suite of </w:t>
      </w:r>
      <w:r>
        <w:t>Complaints Management</w:t>
      </w:r>
      <w:r w:rsidRPr="00CC3A6D">
        <w:t xml:space="preserve"> documents is as follows:</w:t>
      </w:r>
    </w:p>
    <w:p w:rsidR="00CC3A6D" w:rsidRPr="00CC3A6D" w:rsidRDefault="00CC3A6D" w:rsidP="00CC3A6D">
      <w:pPr>
        <w:numPr>
          <w:ilvl w:val="0"/>
          <w:numId w:val="8"/>
        </w:numPr>
      </w:pPr>
      <w:r>
        <w:t>Complaints Management p</w:t>
      </w:r>
      <w:r w:rsidRPr="00CC3A6D">
        <w:t xml:space="preserve">olicy (mandatory) </w:t>
      </w:r>
    </w:p>
    <w:p w:rsidR="00CC3A6D" w:rsidRPr="00CC3A6D" w:rsidRDefault="00CC3A6D" w:rsidP="00CC3A6D">
      <w:pPr>
        <w:numPr>
          <w:ilvl w:val="0"/>
          <w:numId w:val="8"/>
        </w:numPr>
      </w:pPr>
      <w:r w:rsidRPr="00CC3A6D">
        <w:lastRenderedPageBreak/>
        <w:t>Supporting information (non-mandatory):</w:t>
      </w:r>
    </w:p>
    <w:p w:rsidR="00CC3A6D" w:rsidRDefault="00CC3A6D" w:rsidP="00CC3A6D">
      <w:pPr>
        <w:numPr>
          <w:ilvl w:val="1"/>
          <w:numId w:val="8"/>
        </w:numPr>
      </w:pPr>
      <w:r>
        <w:t>Complaints Management</w:t>
      </w:r>
      <w:r w:rsidRPr="00CC3A6D">
        <w:t xml:space="preserve"> Guideline</w:t>
      </w:r>
    </w:p>
    <w:p w:rsidR="001A6563" w:rsidRDefault="00CC3A6D" w:rsidP="001A6563">
      <w:pPr>
        <w:numPr>
          <w:ilvl w:val="1"/>
          <w:numId w:val="8"/>
        </w:numPr>
      </w:pPr>
      <w:r>
        <w:t>Complaints Management Toolkit</w:t>
      </w:r>
    </w:p>
    <w:p w:rsidR="00863A06" w:rsidRDefault="001A6563" w:rsidP="00863A06">
      <w:pPr>
        <w:pStyle w:val="Heading2"/>
      </w:pPr>
      <w:bookmarkStart w:id="4" w:name="_Toc535320232"/>
      <w:r>
        <w:t>Complaints Management policy</w:t>
      </w:r>
      <w:bookmarkEnd w:id="4"/>
    </w:p>
    <w:p w:rsidR="00CE19F9" w:rsidRPr="00CE19F9" w:rsidRDefault="00CE19F9" w:rsidP="00CE19F9">
      <w:r w:rsidRPr="00CE19F9">
        <w:t xml:space="preserve">The </w:t>
      </w:r>
      <w:r>
        <w:t>Complaints Management policy (the Policy)</w:t>
      </w:r>
      <w:r w:rsidRPr="00CE19F9">
        <w:t xml:space="preserve"> sets out the applicability to H</w:t>
      </w:r>
      <w:r>
        <w:t xml:space="preserve">ealth </w:t>
      </w:r>
      <w:r w:rsidRPr="00CE19F9">
        <w:t>S</w:t>
      </w:r>
      <w:r>
        <w:t xml:space="preserve">ervice </w:t>
      </w:r>
      <w:r w:rsidRPr="00CE19F9">
        <w:t>P</w:t>
      </w:r>
      <w:r>
        <w:t>rovider</w:t>
      </w:r>
      <w:r w:rsidRPr="00CE19F9">
        <w:t>s, core policy requirements, and the approach to compliance, monitoring and evaluation (including reporting requirements). The Policy is presented using the approved template for mandatory policies across the WA health system. Key features and changes from the 201</w:t>
      </w:r>
      <w:r>
        <w:t>5</w:t>
      </w:r>
      <w:r w:rsidRPr="00CE19F9">
        <w:t xml:space="preserve"> Policy include:</w:t>
      </w:r>
    </w:p>
    <w:p w:rsidR="00367B72" w:rsidRDefault="00D116FD" w:rsidP="00CE19F9">
      <w:pPr>
        <w:pStyle w:val="ListParagraph"/>
        <w:numPr>
          <w:ilvl w:val="0"/>
          <w:numId w:val="9"/>
        </w:numPr>
      </w:pPr>
      <w:r>
        <w:t xml:space="preserve">The Policy </w:t>
      </w:r>
      <w:r w:rsidR="007A6C38">
        <w:t xml:space="preserve">purpose is to outline </w:t>
      </w:r>
      <w:r>
        <w:t xml:space="preserve">the requirements for the collection, recording, reporting and management of complaints about the WA health system.  </w:t>
      </w:r>
    </w:p>
    <w:p w:rsidR="00D116FD" w:rsidRPr="00D116FD" w:rsidRDefault="00D116FD" w:rsidP="00D116FD">
      <w:pPr>
        <w:pStyle w:val="ListParagraph"/>
        <w:numPr>
          <w:ilvl w:val="0"/>
          <w:numId w:val="9"/>
        </w:numPr>
      </w:pPr>
      <w:r>
        <w:t xml:space="preserve">The Policy is applicable to all Health Service Providers, including the Quadriplegic Centre and </w:t>
      </w:r>
      <w:proofErr w:type="spellStart"/>
      <w:r>
        <w:t>PathWest</w:t>
      </w:r>
      <w:proofErr w:type="spellEnd"/>
      <w:r>
        <w:t xml:space="preserve">. </w:t>
      </w:r>
    </w:p>
    <w:p w:rsidR="00367B72" w:rsidRPr="00367B72" w:rsidRDefault="001241E5" w:rsidP="00367B72">
      <w:pPr>
        <w:pStyle w:val="ListParagraph"/>
        <w:numPr>
          <w:ilvl w:val="0"/>
          <w:numId w:val="9"/>
        </w:numPr>
      </w:pPr>
      <w:r>
        <w:t>Contracted health entities</w:t>
      </w:r>
      <w:r w:rsidR="00D116FD" w:rsidRPr="00D116FD">
        <w:t xml:space="preserve"> </w:t>
      </w:r>
      <w:r w:rsidR="00A00332">
        <w:t xml:space="preserve">are required </w:t>
      </w:r>
      <w:r w:rsidR="00D116FD" w:rsidRPr="00D116FD">
        <w:t xml:space="preserve">to comply with the Policy. Where this is the case </w:t>
      </w:r>
      <w:r>
        <w:t>contracted health entities</w:t>
      </w:r>
      <w:r w:rsidR="00D116FD" w:rsidRPr="00D116FD">
        <w:t xml:space="preserve"> are to read references to HSPs throughout the suite of </w:t>
      </w:r>
      <w:r w:rsidR="00944B09">
        <w:t>Complaints Management</w:t>
      </w:r>
      <w:r w:rsidR="00D116FD" w:rsidRPr="00D116FD">
        <w:t xml:space="preserve"> documents as references to themselves. </w:t>
      </w:r>
    </w:p>
    <w:p w:rsidR="00297CB4" w:rsidRPr="00297CB4" w:rsidRDefault="00297CB4" w:rsidP="00A96CC0">
      <w:pPr>
        <w:pBdr>
          <w:top w:val="single" w:sz="4" w:space="1" w:color="auto"/>
          <w:left w:val="single" w:sz="4" w:space="4" w:color="auto"/>
          <w:bottom w:val="single" w:sz="4" w:space="1" w:color="auto"/>
          <w:right w:val="single" w:sz="4" w:space="4" w:color="auto"/>
        </w:pBdr>
        <w:rPr>
          <w:b/>
        </w:rPr>
      </w:pPr>
      <w:r w:rsidRPr="00297CB4">
        <w:rPr>
          <w:b/>
        </w:rPr>
        <w:t>Consultation question 1:</w:t>
      </w:r>
    </w:p>
    <w:p w:rsidR="009702AB" w:rsidRDefault="00944B09" w:rsidP="00A96CC0">
      <w:pPr>
        <w:pBdr>
          <w:top w:val="single" w:sz="4" w:space="1" w:color="auto"/>
          <w:left w:val="single" w:sz="4" w:space="4" w:color="auto"/>
          <w:bottom w:val="single" w:sz="4" w:space="1" w:color="auto"/>
          <w:right w:val="single" w:sz="4" w:space="4" w:color="auto"/>
        </w:pBdr>
      </w:pPr>
      <w:r w:rsidRPr="00944B09">
        <w:t xml:space="preserve">Do you agree with the </w:t>
      </w:r>
      <w:r w:rsidR="001E0054">
        <w:t xml:space="preserve">Policy’s </w:t>
      </w:r>
      <w:r w:rsidRPr="00944B09">
        <w:t>purpose and applicability? If not, what changes do you suggest?</w:t>
      </w:r>
    </w:p>
    <w:p w:rsidR="003B51E2" w:rsidRPr="003B51E2" w:rsidRDefault="009702AB" w:rsidP="003B51E2">
      <w:pPr>
        <w:pStyle w:val="ListParagraph"/>
        <w:numPr>
          <w:ilvl w:val="0"/>
          <w:numId w:val="9"/>
        </w:numPr>
      </w:pPr>
      <w:r w:rsidRPr="009702AB">
        <w:t xml:space="preserve">Section 3.1 </w:t>
      </w:r>
      <w:r>
        <w:t xml:space="preserve">of the Policy requires HSPs to collect feedback via a range of mechanisms that are accessible and appropriate to health care consumers and carers, including specific consumer groups such as Aboriginal, Culturally and Linguistically Diverse and persons with a disability. </w:t>
      </w:r>
    </w:p>
    <w:p w:rsidR="009702AB" w:rsidRPr="003B51E2" w:rsidRDefault="00A96CC0" w:rsidP="003B51E2">
      <w:pPr>
        <w:pStyle w:val="ListParagraph"/>
        <w:numPr>
          <w:ilvl w:val="0"/>
          <w:numId w:val="9"/>
        </w:numPr>
      </w:pPr>
      <w:r>
        <w:t xml:space="preserve">Section 3.1 of the Policy requires </w:t>
      </w:r>
      <w:r w:rsidR="009702AB">
        <w:t xml:space="preserve">HSPs collect and manage anonymous complaints to the greatest extent possible and shall encourage a consumer/carer to lodge a formal complaint if the complaint </w:t>
      </w:r>
      <w:proofErr w:type="gramStart"/>
      <w:r w:rsidR="009702AB">
        <w:t>is considered to be</w:t>
      </w:r>
      <w:proofErr w:type="gramEnd"/>
      <w:r w:rsidR="009702AB">
        <w:t xml:space="preserve"> moderate, major or severe. </w:t>
      </w:r>
    </w:p>
    <w:p w:rsidR="009702AB" w:rsidRPr="00B30F75" w:rsidRDefault="009702AB" w:rsidP="00A96CC0">
      <w:pPr>
        <w:pBdr>
          <w:top w:val="single" w:sz="4" w:space="1" w:color="auto"/>
          <w:left w:val="single" w:sz="4" w:space="4" w:color="auto"/>
          <w:bottom w:val="single" w:sz="4" w:space="1" w:color="auto"/>
          <w:right w:val="single" w:sz="4" w:space="4" w:color="auto"/>
        </w:pBdr>
        <w:rPr>
          <w:b/>
        </w:rPr>
      </w:pPr>
      <w:r w:rsidRPr="00B30F75">
        <w:rPr>
          <w:b/>
        </w:rPr>
        <w:t xml:space="preserve">Consultation question </w:t>
      </w:r>
      <w:r w:rsidR="00166BFE">
        <w:rPr>
          <w:b/>
        </w:rPr>
        <w:t>2</w:t>
      </w:r>
    </w:p>
    <w:p w:rsidR="00280EFF" w:rsidRDefault="00166BFE" w:rsidP="00A96CC0">
      <w:pPr>
        <w:pBdr>
          <w:top w:val="single" w:sz="4" w:space="1" w:color="auto"/>
          <w:left w:val="single" w:sz="4" w:space="4" w:color="auto"/>
          <w:bottom w:val="single" w:sz="4" w:space="1" w:color="auto"/>
          <w:right w:val="single" w:sz="4" w:space="4" w:color="auto"/>
        </w:pBdr>
      </w:pPr>
      <w:r>
        <w:t xml:space="preserve">Is </w:t>
      </w:r>
      <w:r w:rsidR="00280EFF">
        <w:t xml:space="preserve">your HSP able to </w:t>
      </w:r>
      <w:r w:rsidR="00A8408D">
        <w:t xml:space="preserve">offer a variety of </w:t>
      </w:r>
      <w:r w:rsidR="00280EFF">
        <w:t xml:space="preserve">feedback </w:t>
      </w:r>
      <w:r w:rsidR="00A8408D">
        <w:t>mechanisms that are appropriate to</w:t>
      </w:r>
      <w:r w:rsidR="00280EFF">
        <w:t xml:space="preserve"> </w:t>
      </w:r>
      <w:r w:rsidR="00A8408D">
        <w:t>specific consumer</w:t>
      </w:r>
      <w:r w:rsidR="00280EFF">
        <w:t xml:space="preserve"> and carer</w:t>
      </w:r>
      <w:r w:rsidR="00A8408D">
        <w:t xml:space="preserve"> groups?</w:t>
      </w:r>
      <w:r w:rsidR="003B51E2">
        <w:t xml:space="preserve"> Please explain your response(s).</w:t>
      </w:r>
    </w:p>
    <w:p w:rsidR="00B30F75" w:rsidRPr="00B30F75" w:rsidRDefault="00B30F75" w:rsidP="00A96CC0">
      <w:pPr>
        <w:pBdr>
          <w:top w:val="single" w:sz="4" w:space="1" w:color="auto"/>
          <w:left w:val="single" w:sz="4" w:space="4" w:color="auto"/>
          <w:bottom w:val="single" w:sz="4" w:space="1" w:color="auto"/>
          <w:right w:val="single" w:sz="4" w:space="4" w:color="auto"/>
        </w:pBdr>
        <w:rPr>
          <w:b/>
        </w:rPr>
      </w:pPr>
      <w:r w:rsidRPr="00B30F75">
        <w:rPr>
          <w:b/>
        </w:rPr>
        <w:t xml:space="preserve">Consultation question </w:t>
      </w:r>
      <w:r w:rsidR="00166BFE">
        <w:rPr>
          <w:b/>
        </w:rPr>
        <w:t>3</w:t>
      </w:r>
      <w:r w:rsidRPr="00B30F75">
        <w:rPr>
          <w:b/>
        </w:rPr>
        <w:t xml:space="preserve"> </w:t>
      </w:r>
    </w:p>
    <w:p w:rsidR="00A96CC0" w:rsidRDefault="00166BFE" w:rsidP="00A96CC0">
      <w:pPr>
        <w:pBdr>
          <w:top w:val="single" w:sz="4" w:space="1" w:color="auto"/>
          <w:left w:val="single" w:sz="4" w:space="4" w:color="auto"/>
          <w:bottom w:val="single" w:sz="4" w:space="1" w:color="auto"/>
          <w:right w:val="single" w:sz="4" w:space="4" w:color="auto"/>
        </w:pBdr>
        <w:rPr>
          <w:b/>
        </w:rPr>
      </w:pPr>
      <w:r>
        <w:t>Is</w:t>
      </w:r>
      <w:r w:rsidR="00512734">
        <w:t xml:space="preserve"> </w:t>
      </w:r>
      <w:r w:rsidR="007270AC">
        <w:t>your HSP able to meet</w:t>
      </w:r>
      <w:r w:rsidR="00B30F75">
        <w:t xml:space="preserve"> the requirement to collect and manage anonymous complaints t</w:t>
      </w:r>
      <w:r w:rsidR="004276A7">
        <w:t>o the greatest extent possible? If not, please share your reasons.</w:t>
      </w:r>
      <w:r w:rsidR="004276A7" w:rsidRPr="004276A7">
        <w:rPr>
          <w:b/>
        </w:rPr>
        <w:t xml:space="preserve"> </w:t>
      </w:r>
    </w:p>
    <w:p w:rsidR="00FB58E8" w:rsidRPr="00A96CC0" w:rsidRDefault="00626167" w:rsidP="00A96CC0">
      <w:pPr>
        <w:pStyle w:val="ListParagraph"/>
        <w:numPr>
          <w:ilvl w:val="0"/>
          <w:numId w:val="9"/>
        </w:numPr>
        <w:rPr>
          <w:b/>
        </w:rPr>
      </w:pPr>
      <w:r>
        <w:t xml:space="preserve">The </w:t>
      </w:r>
      <w:r w:rsidR="00FB58E8">
        <w:t xml:space="preserve">Policy’s timeframe requirements to collect and manage complaints are outlined in sections 3.2, 3.3 and 3.6 and are unchanged from the 2015 Policy. These require HSPs to impose no time limit to lodge a complaint (section 3.2) and for a complaint to be acknowledged within five working days of its receipt (section 3.3). </w:t>
      </w:r>
      <w:r w:rsidR="00166BFE">
        <w:t>C</w:t>
      </w:r>
      <w:r w:rsidR="00FB58E8">
        <w:t>omplaints are to be resolved within 30 working days and if there is a delay in a complaint’s resolution, the complainant is to be provided with updates at 15 working day intervals, with the first update due 30 working days following receipt of the complaint</w:t>
      </w:r>
      <w:r w:rsidR="00A96CC0">
        <w:t xml:space="preserve"> (section 3.6)</w:t>
      </w:r>
      <w:r w:rsidR="00FB58E8">
        <w:t xml:space="preserve">. </w:t>
      </w:r>
    </w:p>
    <w:p w:rsidR="00C02C36" w:rsidRPr="0032312B" w:rsidRDefault="00C02C36" w:rsidP="0032312B">
      <w:pPr>
        <w:pBdr>
          <w:top w:val="single" w:sz="4" w:space="1" w:color="auto"/>
          <w:left w:val="single" w:sz="4" w:space="4" w:color="auto"/>
          <w:bottom w:val="single" w:sz="4" w:space="1" w:color="auto"/>
          <w:right w:val="single" w:sz="4" w:space="4" w:color="auto"/>
        </w:pBdr>
        <w:rPr>
          <w:b/>
        </w:rPr>
      </w:pPr>
      <w:r w:rsidRPr="0032312B">
        <w:rPr>
          <w:b/>
        </w:rPr>
        <w:t xml:space="preserve">Consultation question </w:t>
      </w:r>
      <w:r w:rsidR="00166BFE">
        <w:rPr>
          <w:b/>
        </w:rPr>
        <w:t>4</w:t>
      </w:r>
    </w:p>
    <w:p w:rsidR="00E0315F" w:rsidRPr="0032312B" w:rsidRDefault="00FB58E8" w:rsidP="0032312B">
      <w:pPr>
        <w:pBdr>
          <w:top w:val="single" w:sz="4" w:space="1" w:color="auto"/>
          <w:left w:val="single" w:sz="4" w:space="4" w:color="auto"/>
          <w:bottom w:val="single" w:sz="4" w:space="1" w:color="auto"/>
          <w:right w:val="single" w:sz="4" w:space="4" w:color="auto"/>
        </w:pBdr>
      </w:pPr>
      <w:r>
        <w:t xml:space="preserve">Do you agree with the continued use of these </w:t>
      </w:r>
      <w:r w:rsidR="00166BFE">
        <w:t xml:space="preserve">complaint management </w:t>
      </w:r>
      <w:r>
        <w:t>timeframes? If not, please explain why.</w:t>
      </w:r>
    </w:p>
    <w:p w:rsidR="008B5427" w:rsidRDefault="008B5427" w:rsidP="008B5427">
      <w:pPr>
        <w:pStyle w:val="ListParagraph"/>
        <w:ind w:left="360"/>
      </w:pPr>
    </w:p>
    <w:p w:rsidR="006B0F2A" w:rsidRDefault="00E0315F" w:rsidP="008138F8">
      <w:pPr>
        <w:pStyle w:val="ListParagraph"/>
        <w:numPr>
          <w:ilvl w:val="0"/>
          <w:numId w:val="12"/>
        </w:numPr>
      </w:pPr>
      <w:r>
        <w:t>The Policy requires HSPs to record complaints in a central database, including complaints received via Patient Opinion and complaints received by front line staff</w:t>
      </w:r>
      <w:r w:rsidR="00AD7CCE">
        <w:t xml:space="preserve"> (section 3.8)</w:t>
      </w:r>
      <w:r>
        <w:t xml:space="preserve">. The information that must be included in a complaint record </w:t>
      </w:r>
      <w:r w:rsidR="00895143">
        <w:t xml:space="preserve">is unchanged from the 2015 Policy and </w:t>
      </w:r>
      <w:r>
        <w:t>includes, but is not limited to</w:t>
      </w:r>
      <w:r w:rsidR="00202EA7">
        <w:t>:</w:t>
      </w:r>
      <w:r>
        <w:t xml:space="preserve"> initial and confirmed Seriousness Assessment Matrix scores, resolution of complaints and their outcomes, recommendations made and ser</w:t>
      </w:r>
      <w:r w:rsidR="00AD7CCE">
        <w:t>vice improvements identified (</w:t>
      </w:r>
      <w:r>
        <w:t xml:space="preserve">refer to </w:t>
      </w:r>
      <w:r w:rsidR="00AD7CCE">
        <w:t xml:space="preserve">section 3.8 </w:t>
      </w:r>
      <w:r>
        <w:t xml:space="preserve">the Policy for the full list of required information). </w:t>
      </w:r>
    </w:p>
    <w:p w:rsidR="00A96CC0" w:rsidRDefault="00C02C36" w:rsidP="00A96CC0">
      <w:pPr>
        <w:pBdr>
          <w:top w:val="single" w:sz="4" w:space="1" w:color="auto"/>
          <w:left w:val="single" w:sz="4" w:space="4" w:color="auto"/>
          <w:bottom w:val="single" w:sz="4" w:space="1" w:color="auto"/>
          <w:right w:val="single" w:sz="4" w:space="4" w:color="auto"/>
        </w:pBdr>
        <w:rPr>
          <w:b/>
        </w:rPr>
      </w:pPr>
      <w:r>
        <w:rPr>
          <w:b/>
        </w:rPr>
        <w:t>Consultation q</w:t>
      </w:r>
      <w:r w:rsidR="00E0315F" w:rsidRPr="00895143">
        <w:rPr>
          <w:b/>
        </w:rPr>
        <w:t xml:space="preserve">uestion </w:t>
      </w:r>
      <w:r w:rsidR="00AD7CCE">
        <w:rPr>
          <w:b/>
        </w:rPr>
        <w:t>5</w:t>
      </w:r>
    </w:p>
    <w:p w:rsidR="00E0315F" w:rsidRPr="00A96CC0" w:rsidRDefault="00E0315F" w:rsidP="00A96CC0">
      <w:pPr>
        <w:pBdr>
          <w:top w:val="single" w:sz="4" w:space="1" w:color="auto"/>
          <w:left w:val="single" w:sz="4" w:space="4" w:color="auto"/>
          <w:bottom w:val="single" w:sz="4" w:space="1" w:color="auto"/>
          <w:right w:val="single" w:sz="4" w:space="4" w:color="auto"/>
        </w:pBdr>
        <w:rPr>
          <w:b/>
        </w:rPr>
      </w:pPr>
      <w:r>
        <w:t xml:space="preserve">The requirement </w:t>
      </w:r>
      <w:r w:rsidR="00895143">
        <w:t xml:space="preserve">to record complaints received via Patient Opinion and via front line staff is a new addition to the Policy. Do you agree with these additions and </w:t>
      </w:r>
      <w:r w:rsidR="00B72AB6">
        <w:t xml:space="preserve">believe </w:t>
      </w:r>
      <w:r w:rsidR="00895143">
        <w:t xml:space="preserve">that they can be </w:t>
      </w:r>
      <w:r w:rsidR="00B72AB6">
        <w:t>implemented</w:t>
      </w:r>
      <w:r w:rsidR="00895143">
        <w:t xml:space="preserve"> by your HSP? If not, please explain why. </w:t>
      </w:r>
    </w:p>
    <w:p w:rsidR="0070065B" w:rsidRDefault="0070065B" w:rsidP="0070065B">
      <w:pPr>
        <w:pStyle w:val="ListParagraph"/>
        <w:numPr>
          <w:ilvl w:val="0"/>
          <w:numId w:val="12"/>
        </w:numPr>
      </w:pPr>
      <w:r>
        <w:t xml:space="preserve">Monthly and annual reporting requirements are unchanged from the 2015 Policy, with this data being used by the PSSU to monitor </w:t>
      </w:r>
      <w:r w:rsidR="00AD7CCE">
        <w:t xml:space="preserve">Policy </w:t>
      </w:r>
      <w:r>
        <w:t xml:space="preserve">compliance. HSPs are also responsible for monitoring and ensuring compliance with the Policy within services under their remit. </w:t>
      </w:r>
    </w:p>
    <w:p w:rsidR="0070065B" w:rsidRPr="0032312B" w:rsidRDefault="0070065B" w:rsidP="0032312B">
      <w:pPr>
        <w:pBdr>
          <w:top w:val="single" w:sz="4" w:space="1" w:color="auto"/>
          <w:left w:val="single" w:sz="4" w:space="4" w:color="auto"/>
          <w:bottom w:val="single" w:sz="4" w:space="1" w:color="auto"/>
          <w:right w:val="single" w:sz="4" w:space="4" w:color="auto"/>
        </w:pBdr>
        <w:rPr>
          <w:b/>
        </w:rPr>
      </w:pPr>
      <w:r w:rsidRPr="0032312B">
        <w:rPr>
          <w:b/>
        </w:rPr>
        <w:t xml:space="preserve">Consultation question </w:t>
      </w:r>
      <w:r w:rsidR="00EC3224">
        <w:rPr>
          <w:b/>
        </w:rPr>
        <w:t>6</w:t>
      </w:r>
    </w:p>
    <w:p w:rsidR="0070065B" w:rsidRPr="00A96CC0" w:rsidRDefault="0070065B" w:rsidP="005A3D9E">
      <w:pPr>
        <w:pBdr>
          <w:top w:val="single" w:sz="4" w:space="1" w:color="auto"/>
          <w:left w:val="single" w:sz="4" w:space="4" w:color="auto"/>
          <w:bottom w:val="single" w:sz="4" w:space="1" w:color="auto"/>
          <w:right w:val="single" w:sz="4" w:space="4" w:color="auto"/>
        </w:pBdr>
      </w:pPr>
      <w:r w:rsidRPr="005A3D9E">
        <w:t>Do you have any comments on the</w:t>
      </w:r>
      <w:r w:rsidR="00512734">
        <w:t xml:space="preserve"> Policy’s</w:t>
      </w:r>
      <w:r w:rsidRPr="005A3D9E">
        <w:t xml:space="preserve"> reporting requirements? </w:t>
      </w:r>
      <w:r w:rsidR="00EC3224">
        <w:t>P</w:t>
      </w:r>
      <w:r w:rsidRPr="005A3D9E">
        <w:t>lease explain your response(s).</w:t>
      </w:r>
    </w:p>
    <w:p w:rsidR="001A6563" w:rsidRDefault="001A6563" w:rsidP="001A6563">
      <w:pPr>
        <w:pStyle w:val="Heading2"/>
      </w:pPr>
      <w:bookmarkStart w:id="5" w:name="_Toc535320233"/>
      <w:r>
        <w:t>Complaints Management Guideline</w:t>
      </w:r>
      <w:bookmarkEnd w:id="5"/>
    </w:p>
    <w:p w:rsidR="004F09A7" w:rsidRDefault="004F09A7" w:rsidP="004F09A7">
      <w:r w:rsidRPr="004F09A7">
        <w:t xml:space="preserve">The </w:t>
      </w:r>
      <w:r>
        <w:t>Complaints Management</w:t>
      </w:r>
      <w:r w:rsidRPr="004F09A7">
        <w:t xml:space="preserve"> Guideline (</w:t>
      </w:r>
      <w:r>
        <w:t xml:space="preserve">the </w:t>
      </w:r>
      <w:r w:rsidRPr="004F09A7">
        <w:t xml:space="preserve">Guideline) contains non-mandatory supporting information to assist </w:t>
      </w:r>
      <w:r>
        <w:t xml:space="preserve">with the </w:t>
      </w:r>
      <w:r w:rsidRPr="004F09A7">
        <w:t>implementation of the Policy</w:t>
      </w:r>
      <w:r>
        <w:t>, including understandin</w:t>
      </w:r>
      <w:r w:rsidR="00D94566">
        <w:t xml:space="preserve">g of the Policy’s requirements and </w:t>
      </w:r>
      <w:r>
        <w:t xml:space="preserve">external </w:t>
      </w:r>
      <w:r w:rsidRPr="004F09A7">
        <w:t xml:space="preserve">mandatory reporting requirements. </w:t>
      </w:r>
    </w:p>
    <w:p w:rsidR="00BD1E9F" w:rsidRPr="004F09A7" w:rsidRDefault="00BD1E9F" w:rsidP="008138F8">
      <w:pPr>
        <w:pStyle w:val="ListParagraph"/>
        <w:numPr>
          <w:ilvl w:val="0"/>
          <w:numId w:val="11"/>
        </w:numPr>
      </w:pPr>
      <w:r>
        <w:t xml:space="preserve">The guiding principles of complaint management are addressed in section 4, and expanded upon in Appendix 2. These principles correlate with relevant Standards and Guidelines and acknowledge that the consumer is at the centre of these principles. </w:t>
      </w:r>
    </w:p>
    <w:p w:rsidR="00CA640D" w:rsidRDefault="00CA640D" w:rsidP="00CA640D">
      <w:pPr>
        <w:pBdr>
          <w:top w:val="single" w:sz="4" w:space="1" w:color="auto"/>
          <w:left w:val="single" w:sz="4" w:space="4" w:color="auto"/>
          <w:bottom w:val="single" w:sz="4" w:space="1" w:color="auto"/>
          <w:right w:val="single" w:sz="4" w:space="4" w:color="auto"/>
        </w:pBdr>
        <w:rPr>
          <w:b/>
        </w:rPr>
      </w:pPr>
      <w:r w:rsidRPr="00CA640D">
        <w:rPr>
          <w:b/>
        </w:rPr>
        <w:t xml:space="preserve">Consultation question </w:t>
      </w:r>
      <w:r w:rsidR="00EC3224">
        <w:rPr>
          <w:b/>
        </w:rPr>
        <w:t>7</w:t>
      </w:r>
    </w:p>
    <w:p w:rsidR="00CA640D" w:rsidRPr="00CA640D" w:rsidRDefault="00BD1E9F" w:rsidP="00CA640D">
      <w:pPr>
        <w:pBdr>
          <w:top w:val="single" w:sz="4" w:space="1" w:color="auto"/>
          <w:left w:val="single" w:sz="4" w:space="4" w:color="auto"/>
          <w:bottom w:val="single" w:sz="4" w:space="1" w:color="auto"/>
          <w:right w:val="single" w:sz="4" w:space="4" w:color="auto"/>
        </w:pBdr>
      </w:pPr>
      <w:r>
        <w:t xml:space="preserve">Do </w:t>
      </w:r>
      <w:r w:rsidR="001323E0">
        <w:t>the guiding p</w:t>
      </w:r>
      <w:r>
        <w:t xml:space="preserve">rinciples adequately outline the </w:t>
      </w:r>
      <w:r w:rsidR="008138F8">
        <w:t xml:space="preserve">values of </w:t>
      </w:r>
      <w:r>
        <w:t xml:space="preserve">complaints management? </w:t>
      </w:r>
      <w:r w:rsidR="00512734">
        <w:t>Do you suggest</w:t>
      </w:r>
      <w:r>
        <w:t xml:space="preserve"> any amendments</w:t>
      </w:r>
      <w:r w:rsidR="005C0C01">
        <w:t>/additions</w:t>
      </w:r>
      <w:r>
        <w:t xml:space="preserve"> to the principles? </w:t>
      </w:r>
    </w:p>
    <w:p w:rsidR="001F72B9" w:rsidRDefault="00001D4A" w:rsidP="008138F8">
      <w:pPr>
        <w:pStyle w:val="ListParagraph"/>
        <w:numPr>
          <w:ilvl w:val="0"/>
          <w:numId w:val="11"/>
        </w:numPr>
      </w:pPr>
      <w:r w:rsidRPr="00001D4A">
        <w:t>The Com</w:t>
      </w:r>
      <w:r w:rsidR="001F72B9">
        <w:t xml:space="preserve">plaints Management Framework (section 5) and section 6.3 </w:t>
      </w:r>
      <w:r w:rsidR="001323E0">
        <w:t xml:space="preserve">(Frontline complaints management) </w:t>
      </w:r>
      <w:r w:rsidR="001F72B9">
        <w:t xml:space="preserve">expands the complaints management role </w:t>
      </w:r>
      <w:r w:rsidR="001323E0">
        <w:t xml:space="preserve">to include </w:t>
      </w:r>
      <w:r w:rsidR="001F72B9">
        <w:t xml:space="preserve">front line staff. This </w:t>
      </w:r>
      <w:r w:rsidR="001323E0">
        <w:t>requires</w:t>
      </w:r>
      <w:r w:rsidR="001F72B9">
        <w:t xml:space="preserve"> front line staff </w:t>
      </w:r>
      <w:r w:rsidR="001323E0">
        <w:t>t</w:t>
      </w:r>
      <w:r w:rsidR="001F72B9">
        <w:t xml:space="preserve">o resolve complaints within their capacity, encourage consumers and carers to lodge a complaint when appropriate and record and escalate complaints in accordance with local processes. To ensure front line staff </w:t>
      </w:r>
      <w:r w:rsidR="00432514">
        <w:t xml:space="preserve">have the skills and abilities to </w:t>
      </w:r>
      <w:r w:rsidR="001323E0">
        <w:t xml:space="preserve">effectively </w:t>
      </w:r>
      <w:r w:rsidR="00432514">
        <w:t xml:space="preserve">manage complaints the Guideline recommends that HSPs provide education and training to frontline staff. </w:t>
      </w:r>
    </w:p>
    <w:p w:rsidR="00367B72" w:rsidRPr="00DE56B3" w:rsidRDefault="00C02C36" w:rsidP="00E539C5">
      <w:pPr>
        <w:pBdr>
          <w:top w:val="single" w:sz="4" w:space="1" w:color="auto"/>
          <w:left w:val="single" w:sz="4" w:space="4" w:color="auto"/>
          <w:bottom w:val="single" w:sz="4" w:space="1" w:color="auto"/>
          <w:right w:val="single" w:sz="4" w:space="4" w:color="auto"/>
        </w:pBdr>
        <w:rPr>
          <w:b/>
        </w:rPr>
      </w:pPr>
      <w:r>
        <w:rPr>
          <w:b/>
        </w:rPr>
        <w:t>Consultation q</w:t>
      </w:r>
      <w:r w:rsidR="001F72B9" w:rsidRPr="00DE56B3">
        <w:rPr>
          <w:b/>
        </w:rPr>
        <w:t xml:space="preserve">uestion </w:t>
      </w:r>
      <w:r w:rsidR="00EC3224">
        <w:rPr>
          <w:b/>
        </w:rPr>
        <w:t>8</w:t>
      </w:r>
      <w:r w:rsidR="001F72B9" w:rsidRPr="00DE56B3">
        <w:rPr>
          <w:b/>
        </w:rPr>
        <w:t xml:space="preserve"> </w:t>
      </w:r>
    </w:p>
    <w:p w:rsidR="001F72B9" w:rsidRDefault="001F72B9" w:rsidP="00E539C5">
      <w:pPr>
        <w:pBdr>
          <w:top w:val="single" w:sz="4" w:space="1" w:color="auto"/>
          <w:left w:val="single" w:sz="4" w:space="4" w:color="auto"/>
          <w:bottom w:val="single" w:sz="4" w:space="1" w:color="auto"/>
          <w:right w:val="single" w:sz="4" w:space="4" w:color="auto"/>
        </w:pBdr>
      </w:pPr>
      <w:r>
        <w:t>Do</w:t>
      </w:r>
      <w:r w:rsidR="00E539C5">
        <w:t xml:space="preserve"> you </w:t>
      </w:r>
      <w:r w:rsidR="005C0C01">
        <w:t>have any comments on the</w:t>
      </w:r>
      <w:r w:rsidR="00E539C5">
        <w:t xml:space="preserve"> strategies to support front line complaints management? Should any additional strategies be included in this section? Please explain your answer(s). </w:t>
      </w:r>
    </w:p>
    <w:p w:rsidR="008138F8" w:rsidRDefault="009171CA" w:rsidP="008138F8">
      <w:pPr>
        <w:pStyle w:val="ListParagraph"/>
        <w:numPr>
          <w:ilvl w:val="0"/>
          <w:numId w:val="12"/>
        </w:numPr>
      </w:pPr>
      <w:r>
        <w:t>Section 6.6 of t</w:t>
      </w:r>
      <w:r w:rsidR="000541A6">
        <w:t>he Guideline recommends the c</w:t>
      </w:r>
      <w:r w:rsidR="00E539C5">
        <w:t>ollection of demographic information</w:t>
      </w:r>
      <w:r>
        <w:t xml:space="preserve"> from </w:t>
      </w:r>
      <w:r w:rsidR="008138F8">
        <w:t>the complainant and the person affected (should the person affected not be the complainant). This demographic</w:t>
      </w:r>
      <w:r w:rsidR="000541A6">
        <w:t xml:space="preserve"> includes</w:t>
      </w:r>
      <w:r w:rsidR="008138F8">
        <w:t>:</w:t>
      </w:r>
      <w:r w:rsidR="000541A6">
        <w:t xml:space="preserve"> </w:t>
      </w:r>
    </w:p>
    <w:p w:rsidR="008138F8" w:rsidRDefault="008138F8" w:rsidP="008138F8">
      <w:pPr>
        <w:pStyle w:val="ListParagraph"/>
        <w:numPr>
          <w:ilvl w:val="0"/>
          <w:numId w:val="15"/>
        </w:numPr>
      </w:pPr>
      <w:r>
        <w:t>A</w:t>
      </w:r>
      <w:r w:rsidR="000541A6">
        <w:t>ge and gender</w:t>
      </w:r>
    </w:p>
    <w:p w:rsidR="008138F8" w:rsidRDefault="000541A6" w:rsidP="008138F8">
      <w:pPr>
        <w:pStyle w:val="ListParagraph"/>
        <w:numPr>
          <w:ilvl w:val="0"/>
          <w:numId w:val="15"/>
        </w:numPr>
      </w:pPr>
      <w:r>
        <w:lastRenderedPageBreak/>
        <w:t xml:space="preserve">Aboriginal and/or Torres Strait </w:t>
      </w:r>
      <w:r w:rsidR="008138F8">
        <w:t>Islander status</w:t>
      </w:r>
    </w:p>
    <w:p w:rsidR="008138F8" w:rsidRDefault="008138F8" w:rsidP="008138F8">
      <w:pPr>
        <w:pStyle w:val="ListParagraph"/>
        <w:numPr>
          <w:ilvl w:val="0"/>
          <w:numId w:val="15"/>
        </w:numPr>
      </w:pPr>
      <w:r>
        <w:t>If an interpreter is required</w:t>
      </w:r>
    </w:p>
    <w:p w:rsidR="008138F8" w:rsidRDefault="008138F8" w:rsidP="008138F8">
      <w:pPr>
        <w:pStyle w:val="ListParagraph"/>
        <w:numPr>
          <w:ilvl w:val="0"/>
          <w:numId w:val="15"/>
        </w:numPr>
      </w:pPr>
      <w:r>
        <w:t>Country of birth</w:t>
      </w:r>
    </w:p>
    <w:p w:rsidR="00AB192E" w:rsidRDefault="008138F8" w:rsidP="008138F8">
      <w:pPr>
        <w:pStyle w:val="ListParagraph"/>
        <w:numPr>
          <w:ilvl w:val="0"/>
          <w:numId w:val="15"/>
        </w:numPr>
      </w:pPr>
      <w:r>
        <w:t>P</w:t>
      </w:r>
      <w:r w:rsidR="000541A6">
        <w:t>referred language</w:t>
      </w:r>
      <w:r w:rsidR="009171CA">
        <w:t xml:space="preserve"> </w:t>
      </w:r>
      <w:r w:rsidR="000541A6">
        <w:t>/</w:t>
      </w:r>
      <w:r w:rsidR="009171CA">
        <w:t xml:space="preserve"> M</w:t>
      </w:r>
      <w:r w:rsidR="000541A6">
        <w:t xml:space="preserve">ain language other than English spoken at home </w:t>
      </w:r>
    </w:p>
    <w:p w:rsidR="001F72B9" w:rsidRDefault="00AB192E" w:rsidP="008138F8">
      <w:pPr>
        <w:pStyle w:val="ListParagraph"/>
        <w:numPr>
          <w:ilvl w:val="0"/>
          <w:numId w:val="15"/>
        </w:numPr>
      </w:pPr>
      <w:r>
        <w:t>I</w:t>
      </w:r>
      <w:r w:rsidR="000541A6">
        <w:t xml:space="preserve">f a </w:t>
      </w:r>
      <w:r w:rsidR="008138F8">
        <w:t xml:space="preserve">disability is identified and if so the type of disability. </w:t>
      </w:r>
    </w:p>
    <w:p w:rsidR="008138F8" w:rsidRPr="009171CA" w:rsidRDefault="00C02C36" w:rsidP="009171CA">
      <w:pPr>
        <w:pBdr>
          <w:top w:val="single" w:sz="4" w:space="1" w:color="auto"/>
          <w:left w:val="single" w:sz="4" w:space="4" w:color="auto"/>
          <w:bottom w:val="single" w:sz="4" w:space="1" w:color="auto"/>
          <w:right w:val="single" w:sz="4" w:space="4" w:color="auto"/>
        </w:pBdr>
        <w:rPr>
          <w:b/>
        </w:rPr>
      </w:pPr>
      <w:r>
        <w:rPr>
          <w:b/>
        </w:rPr>
        <w:t>Consultation q</w:t>
      </w:r>
      <w:r w:rsidR="008138F8" w:rsidRPr="009171CA">
        <w:rPr>
          <w:b/>
        </w:rPr>
        <w:t xml:space="preserve">uestion </w:t>
      </w:r>
      <w:r w:rsidR="00EC3224">
        <w:rPr>
          <w:b/>
        </w:rPr>
        <w:t>9</w:t>
      </w:r>
    </w:p>
    <w:p w:rsidR="008138F8" w:rsidRDefault="000E6830" w:rsidP="009171CA">
      <w:pPr>
        <w:pBdr>
          <w:top w:val="single" w:sz="4" w:space="1" w:color="auto"/>
          <w:left w:val="single" w:sz="4" w:space="4" w:color="auto"/>
          <w:bottom w:val="single" w:sz="4" w:space="1" w:color="auto"/>
          <w:right w:val="single" w:sz="4" w:space="4" w:color="auto"/>
        </w:pBdr>
      </w:pPr>
      <w:r>
        <w:t>Do</w:t>
      </w:r>
      <w:r w:rsidR="00AB192E">
        <w:t xml:space="preserve"> </w:t>
      </w:r>
      <w:r>
        <w:t xml:space="preserve">you believe </w:t>
      </w:r>
      <w:r w:rsidR="00AB192E">
        <w:t xml:space="preserve">any amendments or additions </w:t>
      </w:r>
      <w:r>
        <w:t xml:space="preserve">are </w:t>
      </w:r>
      <w:r w:rsidR="00AB192E">
        <w:t>needed to the recommended demographic information</w:t>
      </w:r>
      <w:r>
        <w:t xml:space="preserve">? </w:t>
      </w:r>
      <w:r w:rsidR="00CB6800">
        <w:t xml:space="preserve"> </w:t>
      </w:r>
      <w:r>
        <w:t xml:space="preserve">If yes, please provide </w:t>
      </w:r>
      <w:r w:rsidR="009171CA">
        <w:t xml:space="preserve">reasons for your response. </w:t>
      </w:r>
    </w:p>
    <w:p w:rsidR="00EC4547" w:rsidRDefault="009171CA" w:rsidP="00F56E5A">
      <w:pPr>
        <w:pStyle w:val="ListParagraph"/>
        <w:numPr>
          <w:ilvl w:val="0"/>
          <w:numId w:val="12"/>
        </w:numPr>
      </w:pPr>
      <w:r w:rsidRPr="00B3181A">
        <w:t xml:space="preserve">Risk management </w:t>
      </w:r>
      <w:r w:rsidR="009C4B8F" w:rsidRPr="00B3181A">
        <w:t>in</w:t>
      </w:r>
      <w:r w:rsidR="009C4B8F">
        <w:t xml:space="preserve"> relation to complaints is outlined in section 6.8</w:t>
      </w:r>
      <w:r w:rsidR="00B3181A">
        <w:t xml:space="preserve"> </w:t>
      </w:r>
      <w:r w:rsidR="00C92979">
        <w:t xml:space="preserve">(Risk management) </w:t>
      </w:r>
      <w:r w:rsidR="00B3181A">
        <w:t>and section 6.10</w:t>
      </w:r>
      <w:r w:rsidR="00C92979">
        <w:t xml:space="preserve"> (Post investigation risk assessment)</w:t>
      </w:r>
      <w:r w:rsidR="009C4B8F">
        <w:t xml:space="preserve">, with additional information on the Seriousness Assessment Matrix (SAM) provided in Appendix 5. Consideration of complaints in relation to the Enterprise Risk Management System </w:t>
      </w:r>
      <w:r w:rsidR="00512734">
        <w:t xml:space="preserve">(ERMS) </w:t>
      </w:r>
      <w:r w:rsidR="009C4B8F">
        <w:t>has been included</w:t>
      </w:r>
      <w:r w:rsidR="00EC4547">
        <w:t xml:space="preserve"> to reflect the implementation of ERMS </w:t>
      </w:r>
      <w:r w:rsidR="00B3181A">
        <w:t xml:space="preserve">across the WA health system </w:t>
      </w:r>
      <w:r w:rsidR="00EC4547">
        <w:t xml:space="preserve">and its relationship to complaints. </w:t>
      </w:r>
    </w:p>
    <w:p w:rsidR="00EC4547" w:rsidRPr="00F56E5A" w:rsidRDefault="00C02C36" w:rsidP="00F56E5A">
      <w:pPr>
        <w:pBdr>
          <w:top w:val="single" w:sz="4" w:space="1" w:color="auto"/>
          <w:left w:val="single" w:sz="4" w:space="4" w:color="auto"/>
          <w:bottom w:val="single" w:sz="4" w:space="1" w:color="auto"/>
          <w:right w:val="single" w:sz="4" w:space="4" w:color="auto"/>
        </w:pBdr>
        <w:rPr>
          <w:b/>
        </w:rPr>
      </w:pPr>
      <w:r>
        <w:rPr>
          <w:b/>
        </w:rPr>
        <w:t>Consultation q</w:t>
      </w:r>
      <w:r w:rsidR="00EC4547" w:rsidRPr="00F56E5A">
        <w:rPr>
          <w:b/>
        </w:rPr>
        <w:t xml:space="preserve">uestion </w:t>
      </w:r>
      <w:r w:rsidR="00EC3224">
        <w:rPr>
          <w:b/>
        </w:rPr>
        <w:t>10</w:t>
      </w:r>
    </w:p>
    <w:p w:rsidR="009171CA" w:rsidRDefault="00EC4547" w:rsidP="00F56E5A">
      <w:pPr>
        <w:pBdr>
          <w:top w:val="single" w:sz="4" w:space="1" w:color="auto"/>
          <w:left w:val="single" w:sz="4" w:space="4" w:color="auto"/>
          <w:bottom w:val="single" w:sz="4" w:space="1" w:color="auto"/>
          <w:right w:val="single" w:sz="4" w:space="4" w:color="auto"/>
        </w:pBdr>
      </w:pPr>
      <w:r>
        <w:t xml:space="preserve">Does the information provided assist in understanding </w:t>
      </w:r>
      <w:r w:rsidR="003E5761">
        <w:t>seriousness</w:t>
      </w:r>
      <w:r>
        <w:t xml:space="preserve"> in relatio</w:t>
      </w:r>
      <w:r w:rsidR="005C0C01">
        <w:t>n to complaints, including allocation of</w:t>
      </w:r>
      <w:r w:rsidR="00B3181A">
        <w:t xml:space="preserve"> </w:t>
      </w:r>
      <w:r>
        <w:t>an initial and confirmed SAM score</w:t>
      </w:r>
      <w:r w:rsidR="003E5761">
        <w:t>, and the relation to organisational risk</w:t>
      </w:r>
      <w:r>
        <w:t xml:space="preserve">? </w:t>
      </w:r>
      <w:r w:rsidR="009C4B8F">
        <w:t xml:space="preserve"> </w:t>
      </w:r>
      <w:r w:rsidR="00CB7759">
        <w:t xml:space="preserve">If no, what suggestions do you have to clarify this content? </w:t>
      </w:r>
    </w:p>
    <w:p w:rsidR="00C92979" w:rsidRDefault="00670320" w:rsidP="006B58B8">
      <w:pPr>
        <w:pStyle w:val="ListParagraph"/>
        <w:numPr>
          <w:ilvl w:val="0"/>
          <w:numId w:val="12"/>
        </w:numPr>
      </w:pPr>
      <w:r>
        <w:t xml:space="preserve">The complaints management process is outlined in </w:t>
      </w:r>
      <w:r w:rsidR="004D7D56">
        <w:t xml:space="preserve">section 6.4 (Acknowledgment), </w:t>
      </w:r>
      <w:r>
        <w:t xml:space="preserve">section 6.5 (Assessment), section 6.9 (Investigation), section 6.11 (Complaint resolution) and section 6.12 (Response to complainant). </w:t>
      </w:r>
    </w:p>
    <w:p w:rsidR="00B3181A" w:rsidRDefault="00670320" w:rsidP="006B58B8">
      <w:pPr>
        <w:pStyle w:val="ListParagraph"/>
        <w:numPr>
          <w:ilvl w:val="0"/>
          <w:numId w:val="12"/>
        </w:numPr>
      </w:pPr>
      <w:r>
        <w:t xml:space="preserve">Section 6.13 (Complaints involving more than one organisation) is new content as </w:t>
      </w:r>
      <w:r w:rsidR="00512734">
        <w:t>it</w:t>
      </w:r>
      <w:r>
        <w:t xml:space="preserve"> has </w:t>
      </w:r>
      <w:r w:rsidR="00512734">
        <w:t xml:space="preserve">been </w:t>
      </w:r>
      <w:r>
        <w:t xml:space="preserve">identified that many complaints involve more than one organisation within or external </w:t>
      </w:r>
      <w:r w:rsidR="00C62D81">
        <w:t>to a Health Service Provider.</w:t>
      </w:r>
    </w:p>
    <w:p w:rsidR="00C62D81" w:rsidRPr="00B553B2" w:rsidRDefault="00C02C36" w:rsidP="00B553B2">
      <w:pPr>
        <w:pBdr>
          <w:top w:val="single" w:sz="4" w:space="1" w:color="auto"/>
          <w:left w:val="single" w:sz="4" w:space="4" w:color="auto"/>
          <w:bottom w:val="single" w:sz="4" w:space="1" w:color="auto"/>
          <w:right w:val="single" w:sz="4" w:space="4" w:color="auto"/>
        </w:pBdr>
        <w:rPr>
          <w:b/>
        </w:rPr>
      </w:pPr>
      <w:r>
        <w:rPr>
          <w:b/>
        </w:rPr>
        <w:t>Consultation q</w:t>
      </w:r>
      <w:r w:rsidR="00C62D81" w:rsidRPr="00B553B2">
        <w:rPr>
          <w:b/>
        </w:rPr>
        <w:t xml:space="preserve">uestion </w:t>
      </w:r>
      <w:r w:rsidR="00EC3224">
        <w:rPr>
          <w:b/>
        </w:rPr>
        <w:t>11</w:t>
      </w:r>
    </w:p>
    <w:p w:rsidR="00C62D81" w:rsidRPr="00EC3224" w:rsidRDefault="00CB7759" w:rsidP="00B553B2">
      <w:pPr>
        <w:pBdr>
          <w:top w:val="single" w:sz="4" w:space="1" w:color="auto"/>
          <w:left w:val="single" w:sz="4" w:space="4" w:color="auto"/>
          <w:bottom w:val="single" w:sz="4" w:space="1" w:color="auto"/>
          <w:right w:val="single" w:sz="4" w:space="4" w:color="auto"/>
        </w:pBdr>
        <w:rPr>
          <w:b/>
        </w:rPr>
      </w:pPr>
      <w:r>
        <w:t xml:space="preserve">Do you have any comments on </w:t>
      </w:r>
      <w:r w:rsidR="00B553B2">
        <w:t>t</w:t>
      </w:r>
      <w:r>
        <w:t xml:space="preserve">he content relating to </w:t>
      </w:r>
      <w:r w:rsidR="00C62D81">
        <w:t xml:space="preserve">a complaint’s </w:t>
      </w:r>
      <w:r w:rsidR="00E842A6">
        <w:t>acknowle</w:t>
      </w:r>
      <w:r w:rsidR="00C92979">
        <w:t>dge</w:t>
      </w:r>
      <w:r w:rsidR="00EC3224">
        <w:t>ment</w:t>
      </w:r>
      <w:r w:rsidR="00C92979">
        <w:t xml:space="preserve">, </w:t>
      </w:r>
      <w:r w:rsidR="00C62D81">
        <w:t xml:space="preserve">assessment, investigation, resolution and response to the </w:t>
      </w:r>
      <w:r>
        <w:t>complainant?</w:t>
      </w:r>
      <w:r w:rsidR="00C62D81">
        <w:t xml:space="preserve">  </w:t>
      </w:r>
      <w:r w:rsidR="00EC3224" w:rsidRPr="00EC3224">
        <w:t xml:space="preserve">Please explain your response(s).  </w:t>
      </w:r>
    </w:p>
    <w:p w:rsidR="006B58B8" w:rsidRPr="006B58B8" w:rsidRDefault="00C02C36" w:rsidP="00B553B2">
      <w:pPr>
        <w:pBdr>
          <w:top w:val="single" w:sz="4" w:space="1" w:color="auto"/>
          <w:left w:val="single" w:sz="4" w:space="4" w:color="auto"/>
          <w:bottom w:val="single" w:sz="4" w:space="1" w:color="auto"/>
          <w:right w:val="single" w:sz="4" w:space="4" w:color="auto"/>
        </w:pBdr>
        <w:rPr>
          <w:b/>
        </w:rPr>
      </w:pPr>
      <w:r>
        <w:rPr>
          <w:b/>
        </w:rPr>
        <w:t>Consultation q</w:t>
      </w:r>
      <w:r w:rsidR="006B58B8" w:rsidRPr="00B553B2">
        <w:rPr>
          <w:b/>
        </w:rPr>
        <w:t xml:space="preserve">uestion </w:t>
      </w:r>
      <w:r w:rsidR="00EC3224">
        <w:rPr>
          <w:b/>
        </w:rPr>
        <w:t>12</w:t>
      </w:r>
    </w:p>
    <w:p w:rsidR="00B553B2" w:rsidRPr="00EC3224" w:rsidRDefault="00B553B2" w:rsidP="00B553B2">
      <w:pPr>
        <w:pBdr>
          <w:top w:val="single" w:sz="4" w:space="1" w:color="auto"/>
          <w:left w:val="single" w:sz="4" w:space="4" w:color="auto"/>
          <w:bottom w:val="single" w:sz="4" w:space="1" w:color="auto"/>
          <w:right w:val="single" w:sz="4" w:space="4" w:color="auto"/>
        </w:pBdr>
        <w:rPr>
          <w:b/>
        </w:rPr>
      </w:pPr>
      <w:r>
        <w:t xml:space="preserve">Do you </w:t>
      </w:r>
      <w:r w:rsidR="002D058C">
        <w:t>have any comments on</w:t>
      </w:r>
      <w:r w:rsidR="00AC134D" w:rsidRPr="00AC134D">
        <w:t xml:space="preserve"> </w:t>
      </w:r>
      <w:r w:rsidR="00EC3224">
        <w:t xml:space="preserve">the </w:t>
      </w:r>
      <w:r w:rsidR="00AC134D">
        <w:t>content relating to</w:t>
      </w:r>
      <w:r w:rsidR="002D058C">
        <w:t xml:space="preserve"> </w:t>
      </w:r>
      <w:r>
        <w:t>managing a complaint which involves mor</w:t>
      </w:r>
      <w:r w:rsidR="002D058C">
        <w:t xml:space="preserve">e than one organisation? </w:t>
      </w:r>
      <w:r w:rsidR="00EC3224" w:rsidRPr="00EC3224">
        <w:t xml:space="preserve">Please explain your response(s).  </w:t>
      </w:r>
    </w:p>
    <w:p w:rsidR="0084052E" w:rsidRDefault="0084052E" w:rsidP="00512734">
      <w:pPr>
        <w:pStyle w:val="ListParagraph"/>
        <w:numPr>
          <w:ilvl w:val="0"/>
          <w:numId w:val="12"/>
        </w:numPr>
      </w:pPr>
      <w:r>
        <w:t>Health Service Providers are recommended to use information from complaints to drive service improvements in section 7, with the consumer at the core of the complaints management quality improvement cycle. In addition to using complaints data to improve services, Health Service Providers are recommended to undertake regular reviews of their complaints management processes</w:t>
      </w:r>
      <w:r w:rsidR="00512734">
        <w:t xml:space="preserve"> to identify areas for improvement</w:t>
      </w:r>
      <w:r>
        <w:t xml:space="preserve">. </w:t>
      </w:r>
      <w:r w:rsidR="00AC134D">
        <w:t xml:space="preserve"> </w:t>
      </w:r>
    </w:p>
    <w:p w:rsidR="00A96CC0" w:rsidRDefault="00D72C24" w:rsidP="00A96CC0">
      <w:pPr>
        <w:pBdr>
          <w:top w:val="single" w:sz="4" w:space="1" w:color="auto"/>
          <w:left w:val="single" w:sz="4" w:space="4" w:color="auto"/>
          <w:bottom w:val="single" w:sz="4" w:space="1" w:color="auto"/>
          <w:right w:val="single" w:sz="4" w:space="4" w:color="auto"/>
        </w:pBdr>
        <w:rPr>
          <w:b/>
        </w:rPr>
      </w:pPr>
      <w:r w:rsidRPr="00D72C24">
        <w:rPr>
          <w:b/>
        </w:rPr>
        <w:t>Consultation q</w:t>
      </w:r>
      <w:r w:rsidR="0084052E" w:rsidRPr="00D72C24">
        <w:rPr>
          <w:b/>
        </w:rPr>
        <w:t xml:space="preserve">uestion </w:t>
      </w:r>
      <w:r w:rsidR="00EC3224">
        <w:rPr>
          <w:b/>
        </w:rPr>
        <w:t>13</w:t>
      </w:r>
    </w:p>
    <w:p w:rsidR="001D726F" w:rsidRPr="00A96CC0" w:rsidRDefault="00AC134D" w:rsidP="00A96CC0">
      <w:pPr>
        <w:pBdr>
          <w:top w:val="single" w:sz="4" w:space="1" w:color="auto"/>
          <w:left w:val="single" w:sz="4" w:space="4" w:color="auto"/>
          <w:bottom w:val="single" w:sz="4" w:space="1" w:color="auto"/>
          <w:right w:val="single" w:sz="4" w:space="4" w:color="auto"/>
        </w:pBdr>
        <w:rPr>
          <w:b/>
        </w:rPr>
      </w:pPr>
      <w:r>
        <w:t xml:space="preserve">Do you have any comments on the </w:t>
      </w:r>
      <w:r w:rsidR="00512734">
        <w:t>content relating to service improvement</w:t>
      </w:r>
      <w:r>
        <w:t>? Please explain your response</w:t>
      </w:r>
      <w:r w:rsidR="00C92979">
        <w:t>(s)</w:t>
      </w:r>
      <w:r>
        <w:t xml:space="preserve">. </w:t>
      </w:r>
      <w:r w:rsidR="001D726F">
        <w:t xml:space="preserve"> </w:t>
      </w:r>
    </w:p>
    <w:p w:rsidR="00DE56B3" w:rsidRDefault="001D726F" w:rsidP="00B440BE">
      <w:pPr>
        <w:pStyle w:val="ListParagraph"/>
        <w:numPr>
          <w:ilvl w:val="0"/>
          <w:numId w:val="11"/>
        </w:numPr>
      </w:pPr>
      <w:r>
        <w:t xml:space="preserve">Section </w:t>
      </w:r>
      <w:r w:rsidR="00CB7759">
        <w:t>8 outlines Health Service Providers r</w:t>
      </w:r>
      <w:r w:rsidR="00DE56B3">
        <w:t>eporting</w:t>
      </w:r>
      <w:r w:rsidR="00CB7759">
        <w:t xml:space="preserve"> requirements to the Health and Disability Services Complaints Office and recommends reporting activities </w:t>
      </w:r>
      <w:r w:rsidR="00B440BE">
        <w:t>t</w:t>
      </w:r>
      <w:r w:rsidR="0043416D">
        <w:t>hat should</w:t>
      </w:r>
      <w:r w:rsidR="00B440BE">
        <w:t xml:space="preserve"> be undertaken </w:t>
      </w:r>
      <w:r w:rsidR="00CB7759">
        <w:t>within a Health Service Provider</w:t>
      </w:r>
      <w:r w:rsidR="0043416D">
        <w:t>.</w:t>
      </w:r>
      <w:r w:rsidR="00CB7759">
        <w:t xml:space="preserve"> </w:t>
      </w:r>
    </w:p>
    <w:p w:rsidR="00CB7759" w:rsidRPr="00B440BE" w:rsidRDefault="00B440BE" w:rsidP="00B440BE">
      <w:pPr>
        <w:pBdr>
          <w:top w:val="single" w:sz="4" w:space="1" w:color="auto"/>
          <w:left w:val="single" w:sz="4" w:space="4" w:color="auto"/>
          <w:bottom w:val="single" w:sz="4" w:space="1" w:color="auto"/>
          <w:right w:val="single" w:sz="4" w:space="4" w:color="auto"/>
        </w:pBdr>
        <w:rPr>
          <w:b/>
        </w:rPr>
      </w:pPr>
      <w:r w:rsidRPr="00B440BE">
        <w:rPr>
          <w:b/>
        </w:rPr>
        <w:lastRenderedPageBreak/>
        <w:t>Consultation q</w:t>
      </w:r>
      <w:r w:rsidR="00CB7759" w:rsidRPr="00B440BE">
        <w:rPr>
          <w:b/>
        </w:rPr>
        <w:t xml:space="preserve">uestion </w:t>
      </w:r>
      <w:r w:rsidR="00EC3224">
        <w:rPr>
          <w:b/>
        </w:rPr>
        <w:t>14</w:t>
      </w:r>
    </w:p>
    <w:p w:rsidR="00CB7759" w:rsidRDefault="00CB7759" w:rsidP="00A96CC0">
      <w:pPr>
        <w:pBdr>
          <w:top w:val="single" w:sz="4" w:space="1" w:color="auto"/>
          <w:left w:val="single" w:sz="4" w:space="4" w:color="auto"/>
          <w:bottom w:val="single" w:sz="4" w:space="1" w:color="auto"/>
          <w:right w:val="single" w:sz="4" w:space="4" w:color="auto"/>
        </w:pBdr>
      </w:pPr>
      <w:r>
        <w:t>Do you have any comments or suggestions on the content relating to reporting?</w:t>
      </w:r>
      <w:r w:rsidR="0043416D">
        <w:t xml:space="preserve"> Please explain your response(s). </w:t>
      </w:r>
    </w:p>
    <w:p w:rsidR="000A6F01" w:rsidRDefault="00C43454" w:rsidP="000A6F01">
      <w:pPr>
        <w:pStyle w:val="ListParagraph"/>
        <w:numPr>
          <w:ilvl w:val="0"/>
          <w:numId w:val="11"/>
        </w:numPr>
      </w:pPr>
      <w:r w:rsidRPr="00C43454">
        <w:t>Accidents, clinical incidents and misconduct may become the subject of a complaint</w:t>
      </w:r>
      <w:r>
        <w:t xml:space="preserve"> and may require legal advice to be sought. </w:t>
      </w:r>
      <w:r w:rsidR="000A6F01">
        <w:t>Section 9 (Complaints alleging misconduct), section 10 (Accidents and clinical incidents) and section 11 (Obtaining legal advice) provide guidance on the management of such complaints.</w:t>
      </w:r>
    </w:p>
    <w:p w:rsidR="00A96CC0" w:rsidRDefault="000A6F01" w:rsidP="000A6F01">
      <w:pPr>
        <w:pBdr>
          <w:top w:val="single" w:sz="4" w:space="1" w:color="auto"/>
          <w:left w:val="single" w:sz="4" w:space="4" w:color="auto"/>
          <w:bottom w:val="single" w:sz="4" w:space="1" w:color="auto"/>
          <w:right w:val="single" w:sz="4" w:space="4" w:color="auto"/>
        </w:pBdr>
        <w:rPr>
          <w:b/>
        </w:rPr>
      </w:pPr>
      <w:r w:rsidRPr="000A6F01">
        <w:rPr>
          <w:b/>
        </w:rPr>
        <w:t xml:space="preserve">Consultation question </w:t>
      </w:r>
      <w:r w:rsidR="00EC3224">
        <w:rPr>
          <w:b/>
        </w:rPr>
        <w:t>15</w:t>
      </w:r>
    </w:p>
    <w:p w:rsidR="00DE56B3" w:rsidRDefault="000A6F01" w:rsidP="000A6F01">
      <w:pPr>
        <w:pBdr>
          <w:top w:val="single" w:sz="4" w:space="1" w:color="auto"/>
          <w:left w:val="single" w:sz="4" w:space="4" w:color="auto"/>
          <w:bottom w:val="single" w:sz="4" w:space="1" w:color="auto"/>
          <w:right w:val="single" w:sz="4" w:space="4" w:color="auto"/>
        </w:pBdr>
      </w:pPr>
      <w:r>
        <w:t xml:space="preserve">Do you have any comments or suggestions for the content relating to misconduct, accidents, clinical incidents and seeking legal advice? Please explain your response(s).  </w:t>
      </w:r>
    </w:p>
    <w:p w:rsidR="00DE56B3" w:rsidRDefault="00606A4E" w:rsidP="00512734">
      <w:pPr>
        <w:pStyle w:val="ListParagraph"/>
        <w:numPr>
          <w:ilvl w:val="0"/>
          <w:numId w:val="11"/>
        </w:numPr>
      </w:pPr>
      <w:r>
        <w:t>Section 12 of the Guideline provides guidance on m</w:t>
      </w:r>
      <w:r w:rsidR="00DE56B3">
        <w:t xml:space="preserve">anaging challenging and unreasonable complaint conduct. </w:t>
      </w:r>
      <w:r>
        <w:t xml:space="preserve">This includes the recommended escalation pathway for challenging and unreasonable complainants and identifies situations that warrant restricting access to the complaint management process. </w:t>
      </w:r>
    </w:p>
    <w:p w:rsidR="00606A4E" w:rsidRPr="00606A4E" w:rsidRDefault="00606A4E" w:rsidP="00606A4E">
      <w:pPr>
        <w:pBdr>
          <w:top w:val="single" w:sz="4" w:space="1" w:color="auto"/>
          <w:left w:val="single" w:sz="4" w:space="4" w:color="auto"/>
          <w:bottom w:val="single" w:sz="4" w:space="1" w:color="auto"/>
          <w:right w:val="single" w:sz="4" w:space="4" w:color="auto"/>
        </w:pBdr>
        <w:rPr>
          <w:b/>
        </w:rPr>
      </w:pPr>
      <w:r w:rsidRPr="00606A4E">
        <w:rPr>
          <w:b/>
        </w:rPr>
        <w:t xml:space="preserve">Consultation question </w:t>
      </w:r>
      <w:r w:rsidR="00EC3224">
        <w:rPr>
          <w:b/>
        </w:rPr>
        <w:t>16</w:t>
      </w:r>
    </w:p>
    <w:p w:rsidR="00606A4E" w:rsidRPr="00001D4A" w:rsidRDefault="00606A4E" w:rsidP="00606A4E">
      <w:pPr>
        <w:pBdr>
          <w:top w:val="single" w:sz="4" w:space="1" w:color="auto"/>
          <w:left w:val="single" w:sz="4" w:space="4" w:color="auto"/>
          <w:bottom w:val="single" w:sz="4" w:space="1" w:color="auto"/>
          <w:right w:val="single" w:sz="4" w:space="4" w:color="auto"/>
        </w:pBdr>
      </w:pPr>
      <w:r w:rsidRPr="00606A4E">
        <w:t>Do you have any comments or suggest</w:t>
      </w:r>
      <w:r>
        <w:t>ions for</w:t>
      </w:r>
      <w:r w:rsidR="00512734">
        <w:t xml:space="preserve"> the content on</w:t>
      </w:r>
      <w:r>
        <w:t xml:space="preserve"> managing challenging and unreasonable complainant conduct</w:t>
      </w:r>
      <w:r w:rsidRPr="00606A4E">
        <w:t xml:space="preserve">? Please explain your response(s).  </w:t>
      </w:r>
    </w:p>
    <w:p w:rsidR="00863A06" w:rsidRDefault="001A6563" w:rsidP="001A6563">
      <w:pPr>
        <w:pStyle w:val="Heading2"/>
      </w:pPr>
      <w:bookmarkStart w:id="6" w:name="_Toc535320234"/>
      <w:r>
        <w:t>Complaints Management Toolkit</w:t>
      </w:r>
      <w:bookmarkEnd w:id="6"/>
    </w:p>
    <w:p w:rsidR="00CA640D" w:rsidRDefault="00784BEE" w:rsidP="001A6563">
      <w:r w:rsidRPr="00784BEE">
        <w:t xml:space="preserve">The Complaints Management </w:t>
      </w:r>
      <w:r>
        <w:t>Toolkit</w:t>
      </w:r>
      <w:r w:rsidRPr="00784BEE">
        <w:t xml:space="preserve"> (the </w:t>
      </w:r>
      <w:r>
        <w:t>Toolkit</w:t>
      </w:r>
      <w:r w:rsidRPr="00784BEE">
        <w:t>) contains non-mandatory supporting information</w:t>
      </w:r>
      <w:r>
        <w:t xml:space="preserve"> to assist staff in their p</w:t>
      </w:r>
      <w:r w:rsidR="00512734">
        <w:t>ractical implementation of the P</w:t>
      </w:r>
      <w:r>
        <w:t>olicy. The Toolkit contains</w:t>
      </w:r>
      <w:r w:rsidR="00CA640D">
        <w:t>:</w:t>
      </w:r>
      <w:r>
        <w:t xml:space="preserve"> </w:t>
      </w:r>
    </w:p>
    <w:p w:rsidR="00CA640D" w:rsidRDefault="00B75B5E" w:rsidP="00FC15E0">
      <w:pPr>
        <w:pStyle w:val="ListParagraph"/>
        <w:numPr>
          <w:ilvl w:val="0"/>
          <w:numId w:val="9"/>
        </w:numPr>
        <w:ind w:left="357" w:hanging="357"/>
      </w:pPr>
      <w:r>
        <w:t>Practical</w:t>
      </w:r>
      <w:r w:rsidR="00CA640D">
        <w:t xml:space="preserve"> guidance on the investigation of a complaint</w:t>
      </w:r>
    </w:p>
    <w:p w:rsidR="00CA640D" w:rsidRDefault="00CA640D" w:rsidP="00FC15E0">
      <w:pPr>
        <w:pStyle w:val="ListParagraph"/>
        <w:numPr>
          <w:ilvl w:val="0"/>
          <w:numId w:val="9"/>
        </w:numPr>
        <w:ind w:left="357" w:hanging="357"/>
      </w:pPr>
      <w:r>
        <w:t xml:space="preserve">Sample forms and </w:t>
      </w:r>
      <w:r w:rsidR="00784BEE">
        <w:t xml:space="preserve">checklists </w:t>
      </w:r>
      <w:r>
        <w:t>to aid the complaints management process</w:t>
      </w:r>
      <w:r w:rsidR="00784BEE">
        <w:t xml:space="preserve"> </w:t>
      </w:r>
    </w:p>
    <w:p w:rsidR="00CA640D" w:rsidRDefault="00CA640D" w:rsidP="00FC15E0">
      <w:pPr>
        <w:pStyle w:val="ListParagraph"/>
        <w:numPr>
          <w:ilvl w:val="0"/>
          <w:numId w:val="9"/>
        </w:numPr>
        <w:ind w:left="357" w:hanging="357"/>
      </w:pPr>
      <w:r>
        <w:t>Sample l</w:t>
      </w:r>
      <w:r w:rsidR="00784BEE">
        <w:t xml:space="preserve">etters to complainants </w:t>
      </w:r>
    </w:p>
    <w:p w:rsidR="001A6563" w:rsidRDefault="00CA640D" w:rsidP="00FC15E0">
      <w:pPr>
        <w:pStyle w:val="ListParagraph"/>
        <w:numPr>
          <w:ilvl w:val="0"/>
          <w:numId w:val="9"/>
        </w:numPr>
        <w:ind w:left="357" w:hanging="357"/>
      </w:pPr>
      <w:r>
        <w:t>Data definitions for recording and reporting complaints data</w:t>
      </w:r>
      <w:r w:rsidR="00512734">
        <w:t>.</w:t>
      </w:r>
    </w:p>
    <w:p w:rsidR="00112166" w:rsidRPr="00112166" w:rsidRDefault="00112166" w:rsidP="00112166">
      <w:pPr>
        <w:pBdr>
          <w:top w:val="single" w:sz="4" w:space="1" w:color="auto"/>
          <w:left w:val="single" w:sz="4" w:space="4" w:color="auto"/>
          <w:bottom w:val="single" w:sz="4" w:space="1" w:color="auto"/>
          <w:right w:val="single" w:sz="4" w:space="4" w:color="auto"/>
        </w:pBdr>
        <w:rPr>
          <w:b/>
        </w:rPr>
      </w:pPr>
      <w:r w:rsidRPr="00112166">
        <w:rPr>
          <w:b/>
        </w:rPr>
        <w:t xml:space="preserve">Consultation question </w:t>
      </w:r>
      <w:r w:rsidR="00EC3224">
        <w:rPr>
          <w:b/>
        </w:rPr>
        <w:t>17</w:t>
      </w:r>
    </w:p>
    <w:p w:rsidR="00112166" w:rsidRDefault="00112166" w:rsidP="00112166">
      <w:pPr>
        <w:pBdr>
          <w:top w:val="single" w:sz="4" w:space="1" w:color="auto"/>
          <w:left w:val="single" w:sz="4" w:space="4" w:color="auto"/>
          <w:bottom w:val="single" w:sz="4" w:space="1" w:color="auto"/>
          <w:right w:val="single" w:sz="4" w:space="4" w:color="auto"/>
        </w:pBdr>
      </w:pPr>
      <w:r>
        <w:t xml:space="preserve">Do you have any comments on the information provided in the Toolkit? Is any information unnecessary or unclear? </w:t>
      </w:r>
      <w:r w:rsidR="00EC3224" w:rsidRPr="00606A4E">
        <w:t xml:space="preserve">Please explain your response(s).  </w:t>
      </w:r>
    </w:p>
    <w:p w:rsidR="001A6563" w:rsidRDefault="001A6563" w:rsidP="001A6563">
      <w:pPr>
        <w:pStyle w:val="Heading2"/>
      </w:pPr>
      <w:bookmarkStart w:id="7" w:name="_Toc535320235"/>
      <w:r>
        <w:t>Additional Feedback</w:t>
      </w:r>
      <w:bookmarkEnd w:id="7"/>
    </w:p>
    <w:p w:rsidR="002044BD" w:rsidRPr="002044BD" w:rsidRDefault="002044BD" w:rsidP="002044BD">
      <w:pPr>
        <w:pBdr>
          <w:top w:val="single" w:sz="4" w:space="1" w:color="auto"/>
          <w:left w:val="single" w:sz="4" w:space="4" w:color="auto"/>
          <w:bottom w:val="single" w:sz="4" w:space="1" w:color="auto"/>
          <w:right w:val="single" w:sz="4" w:space="4" w:color="auto"/>
        </w:pBdr>
        <w:rPr>
          <w:b/>
        </w:rPr>
      </w:pPr>
      <w:r w:rsidRPr="002044BD">
        <w:rPr>
          <w:b/>
        </w:rPr>
        <w:t xml:space="preserve">Consultation question </w:t>
      </w:r>
      <w:r w:rsidR="00EC3224">
        <w:rPr>
          <w:b/>
        </w:rPr>
        <w:t>18</w:t>
      </w:r>
    </w:p>
    <w:p w:rsidR="002044BD" w:rsidRPr="002044BD" w:rsidRDefault="002044BD" w:rsidP="002044BD">
      <w:pPr>
        <w:pBdr>
          <w:top w:val="single" w:sz="4" w:space="1" w:color="auto"/>
          <w:left w:val="single" w:sz="4" w:space="4" w:color="auto"/>
          <w:bottom w:val="single" w:sz="4" w:space="1" w:color="auto"/>
          <w:right w:val="single" w:sz="4" w:space="4" w:color="auto"/>
        </w:pBdr>
        <w:rPr>
          <w:b/>
        </w:rPr>
      </w:pPr>
      <w:r w:rsidRPr="002044BD">
        <w:t xml:space="preserve">Do you have any further </w:t>
      </w:r>
      <w:r>
        <w:t>feedback</w:t>
      </w:r>
      <w:r w:rsidRPr="002044BD">
        <w:t xml:space="preserve"> on the suite of </w:t>
      </w:r>
      <w:r>
        <w:t>Complaints Management</w:t>
      </w:r>
      <w:r w:rsidRPr="002044BD">
        <w:t xml:space="preserve"> documents (either individually or collectively)? If so</w:t>
      </w:r>
      <w:r w:rsidR="00EC3224">
        <w:t>,</w:t>
      </w:r>
      <w:r w:rsidRPr="002044BD">
        <w:t xml:space="preserve"> please be specific about the document(s) and section(s) that you are referring to.</w:t>
      </w:r>
    </w:p>
    <w:p w:rsidR="002044BD" w:rsidRPr="002044BD" w:rsidRDefault="002044BD" w:rsidP="002044BD">
      <w:pPr>
        <w:rPr>
          <w:b/>
        </w:rPr>
      </w:pPr>
      <w:r w:rsidRPr="002044BD">
        <w:rPr>
          <w:b/>
        </w:rPr>
        <w:t>Reminder:</w:t>
      </w:r>
    </w:p>
    <w:p w:rsidR="00FC15E0" w:rsidRDefault="002044BD" w:rsidP="00C92979">
      <w:pPr>
        <w:pStyle w:val="ListParagraph"/>
        <w:numPr>
          <w:ilvl w:val="0"/>
          <w:numId w:val="9"/>
        </w:numPr>
        <w:ind w:left="357" w:hanging="357"/>
      </w:pPr>
      <w:r w:rsidRPr="002044BD">
        <w:t xml:space="preserve">The consultation period ends on </w:t>
      </w:r>
      <w:r w:rsidR="000556CC">
        <w:rPr>
          <w:b/>
        </w:rPr>
        <w:t>2</w:t>
      </w:r>
      <w:r w:rsidR="00C2527B">
        <w:rPr>
          <w:b/>
        </w:rPr>
        <w:t>6</w:t>
      </w:r>
      <w:r w:rsidR="006D0032">
        <w:rPr>
          <w:b/>
        </w:rPr>
        <w:t xml:space="preserve"> </w:t>
      </w:r>
      <w:r w:rsidR="00C2527B">
        <w:rPr>
          <w:b/>
        </w:rPr>
        <w:t>Jul</w:t>
      </w:r>
      <w:r w:rsidR="006D0032">
        <w:rPr>
          <w:b/>
        </w:rPr>
        <w:t>y</w:t>
      </w:r>
      <w:r w:rsidRPr="00E64EA7">
        <w:rPr>
          <w:b/>
        </w:rPr>
        <w:t xml:space="preserve"> 2019</w:t>
      </w:r>
      <w:r w:rsidR="006D0032">
        <w:t>.</w:t>
      </w:r>
    </w:p>
    <w:p w:rsidR="002044BD" w:rsidRPr="002044BD" w:rsidRDefault="002044BD" w:rsidP="00C92979">
      <w:pPr>
        <w:pStyle w:val="ListParagraph"/>
        <w:numPr>
          <w:ilvl w:val="0"/>
          <w:numId w:val="9"/>
        </w:numPr>
        <w:ind w:left="357" w:hanging="357"/>
      </w:pPr>
      <w:r w:rsidRPr="002044BD">
        <w:t xml:space="preserve">Please respond by completing the consultation response form and submitting it </w:t>
      </w:r>
      <w:r w:rsidR="00EC3224">
        <w:t>via</w:t>
      </w:r>
      <w:r w:rsidRPr="002044BD">
        <w:t xml:space="preserve"> email to </w:t>
      </w:r>
      <w:hyperlink r:id="rId21" w:history="1">
        <w:r w:rsidR="00C92979" w:rsidRPr="002044BD">
          <w:rPr>
            <w:rStyle w:val="Hyperlink"/>
          </w:rPr>
          <w:t>PSSU@health.wa.gov.au</w:t>
        </w:r>
      </w:hyperlink>
      <w:bookmarkStart w:id="8" w:name="_GoBack"/>
      <w:bookmarkEnd w:id="8"/>
    </w:p>
    <w:p w:rsidR="002044BD" w:rsidRPr="002044BD" w:rsidRDefault="002044BD" w:rsidP="00C92979">
      <w:pPr>
        <w:pStyle w:val="ListParagraph"/>
        <w:numPr>
          <w:ilvl w:val="0"/>
          <w:numId w:val="9"/>
        </w:numPr>
        <w:ind w:left="357" w:hanging="357"/>
      </w:pPr>
      <w:r w:rsidRPr="002044BD">
        <w:t>You may respond to all or any of the consultation questions you feel are relevant to you</w:t>
      </w:r>
    </w:p>
    <w:p w:rsidR="002044BD" w:rsidRPr="002044BD" w:rsidRDefault="002044BD" w:rsidP="00C92979">
      <w:pPr>
        <w:pStyle w:val="ListParagraph"/>
        <w:numPr>
          <w:ilvl w:val="0"/>
          <w:numId w:val="9"/>
        </w:numPr>
        <w:ind w:left="357" w:hanging="357"/>
        <w:sectPr w:rsidR="002044BD" w:rsidRPr="002044BD" w:rsidSect="00B73135">
          <w:headerReference w:type="default" r:id="rId22"/>
          <w:footerReference w:type="default" r:id="rId23"/>
          <w:pgSz w:w="11906" w:h="16838"/>
          <w:pgMar w:top="851" w:right="851" w:bottom="1418" w:left="851" w:header="709" w:footer="397" w:gutter="0"/>
          <w:cols w:space="708"/>
          <w:docGrid w:linePitch="360"/>
        </w:sectPr>
      </w:pPr>
      <w:r w:rsidRPr="002044BD">
        <w:t xml:space="preserve">If you have any queries regarding this </w:t>
      </w:r>
      <w:proofErr w:type="gramStart"/>
      <w:r w:rsidRPr="002044BD">
        <w:t>consultation</w:t>
      </w:r>
      <w:proofErr w:type="gramEnd"/>
      <w:r w:rsidRPr="002044BD">
        <w:t xml:space="preserve"> please contact the PSSU </w:t>
      </w:r>
      <w:r w:rsidR="00EC3224">
        <w:t>via</w:t>
      </w:r>
      <w:r w:rsidRPr="002044BD">
        <w:t xml:space="preserve"> email</w:t>
      </w:r>
      <w:r>
        <w:t xml:space="preserve"> at </w:t>
      </w:r>
      <w:hyperlink r:id="rId24" w:history="1">
        <w:r w:rsidR="00C92979" w:rsidRPr="002044BD">
          <w:rPr>
            <w:rStyle w:val="Hyperlink"/>
          </w:rPr>
          <w:t>PSSU@health.wa.gov.au</w:t>
        </w:r>
      </w:hyperlink>
    </w:p>
    <w:p w:rsidR="000A06FA" w:rsidRDefault="000A06FA" w:rsidP="00F62BCC">
      <w:pPr>
        <w:spacing w:after="360"/>
      </w:pPr>
    </w:p>
    <w:p w:rsidR="0068033E" w:rsidRPr="004D0A1D" w:rsidRDefault="0068033E" w:rsidP="00F62BCC">
      <w:pPr>
        <w:spacing w:after="360"/>
        <w:rPr>
          <w:rStyle w:val="Bold"/>
          <w:color w:val="005B38"/>
          <w:sz w:val="36"/>
          <w:szCs w:val="36"/>
        </w:rPr>
      </w:pP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835CFB">
        <w:rPr>
          <w:b/>
        </w:rPr>
        <w:t xml:space="preserve">request for a person with </w:t>
      </w:r>
      <w:r w:rsidRPr="00AF7C07">
        <w:rPr>
          <w:b/>
        </w:rPr>
        <w:t>disability.</w:t>
      </w:r>
    </w:p>
    <w:p w:rsidR="00743BE0" w:rsidRDefault="00183A46" w:rsidP="000C1184">
      <w:pPr>
        <w:spacing w:after="300"/>
        <w:ind w:right="-1"/>
      </w:pPr>
      <w:r>
        <w:t>© Department of Health 201</w:t>
      </w:r>
      <w:r w:rsidR="001D03AE">
        <w:t>9</w:t>
      </w:r>
    </w:p>
    <w:p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5"/>
      <w:footerReference w:type="default" r:id="rId26"/>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3A" w:rsidRDefault="00FF133A" w:rsidP="00743BE0">
      <w:pPr>
        <w:spacing w:after="0"/>
      </w:pPr>
      <w:r>
        <w:separator/>
      </w:r>
    </w:p>
  </w:endnote>
  <w:endnote w:type="continuationSeparator" w:id="0">
    <w:p w:rsidR="00FF133A" w:rsidRDefault="00FF133A"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altName w:val="Times New Roman"/>
    <w:charset w:val="00"/>
    <w:family w:val="roman"/>
    <w:pitch w:val="variable"/>
    <w:sig w:usb0="E00002FF" w:usb1="400004FF" w:usb2="00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F2" w:rsidRPr="004D0A1D" w:rsidRDefault="00F34BF2"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DD" w:rsidRPr="00375931" w:rsidRDefault="008F3001" w:rsidP="00771E1C">
    <w:pPr>
      <w:pStyle w:val="Footer"/>
    </w:pPr>
    <w:r>
      <w:rPr>
        <w:noProof/>
        <w:lang w:eastAsia="en-AU"/>
      </w:rPr>
      <mc:AlternateContent>
        <mc:Choice Requires="wps">
          <w:drawing>
            <wp:anchor distT="0" distB="0" distL="114300" distR="114300" simplePos="0" relativeHeight="251660288" behindDoc="1" locked="0" layoutInCell="1" allowOverlap="1" wp14:anchorId="2AF059A5" wp14:editId="61ABE4E2">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AD3142"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851130 [3204]">
              <w10:wrap anchorx="page" anchory="page"/>
            </v:line>
          </w:pict>
        </mc:Fallback>
      </mc:AlternateContent>
    </w:r>
    <w:r w:rsidR="00427800">
      <w:fldChar w:fldCharType="begin"/>
    </w:r>
    <w:r w:rsidR="00427800">
      <w:instrText xml:space="preserve"> PAGE   \* MERGEFORMAT </w:instrText>
    </w:r>
    <w:r w:rsidR="00427800">
      <w:fldChar w:fldCharType="separate"/>
    </w:r>
    <w:r w:rsidR="00C2527B">
      <w:rPr>
        <w:noProof/>
      </w:rPr>
      <w:t>1</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BD" w:rsidRPr="00375931" w:rsidRDefault="002044BD" w:rsidP="00771E1C">
    <w:pPr>
      <w:pStyle w:val="Footer"/>
    </w:pPr>
    <w:r>
      <w:rPr>
        <w:noProof/>
        <w:lang w:eastAsia="en-AU"/>
      </w:rPr>
      <mc:AlternateContent>
        <mc:Choice Requires="wps">
          <w:drawing>
            <wp:anchor distT="0" distB="0" distL="114300" distR="114300" simplePos="0" relativeHeight="251662336" behindDoc="1" locked="0" layoutInCell="1" allowOverlap="1" wp14:anchorId="070C50FE" wp14:editId="7E8BD698">
              <wp:simplePos x="0" y="0"/>
              <wp:positionH relativeFrom="page">
                <wp:posOffset>575310</wp:posOffset>
              </wp:positionH>
              <wp:positionV relativeFrom="page">
                <wp:posOffset>10142361</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a:solidFill>
                          <a:srgbClr val="005B3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54442D" id="Straight Connector 9"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" strokecolor="#005b38">
              <w10:wrap anchorx="page" anchory="page"/>
            </v:line>
          </w:pict>
        </mc:Fallback>
      </mc:AlternateContent>
    </w:r>
    <w:r>
      <w:fldChar w:fldCharType="begin"/>
    </w:r>
    <w:r>
      <w:instrText xml:space="preserve"> PAGE   \* MERGEFORMAT </w:instrText>
    </w:r>
    <w:r>
      <w:fldChar w:fldCharType="separate"/>
    </w:r>
    <w:r w:rsidR="00C2527B">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3A" w:rsidRDefault="00FF133A" w:rsidP="00743BE0">
      <w:pPr>
        <w:spacing w:after="0"/>
      </w:pPr>
      <w:r>
        <w:separator/>
      </w:r>
    </w:p>
  </w:footnote>
  <w:footnote w:type="continuationSeparator" w:id="0">
    <w:p w:rsidR="00FF133A" w:rsidRDefault="00FF133A"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3E" w:rsidRDefault="009570CB">
    <w:pPr>
      <w:pStyle w:val="Header"/>
    </w:pPr>
    <w:r>
      <w:rPr>
        <w:noProof/>
        <w:lang w:eastAsia="en-AU"/>
      </w:rPr>
      <w:drawing>
        <wp:anchor distT="0" distB="0" distL="114300" distR="114300" simplePos="0" relativeHeight="251659264" behindDoc="1" locked="0" layoutInCell="1" allowOverlap="1" wp14:anchorId="06DDB6F6" wp14:editId="02C0BA9C">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BD" w:rsidRDefault="002044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235"/>
    <w:multiLevelType w:val="hybridMultilevel"/>
    <w:tmpl w:val="5E986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04EE2"/>
    <w:multiLevelType w:val="hybridMultilevel"/>
    <w:tmpl w:val="5A0E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F4071"/>
    <w:multiLevelType w:val="hybridMultilevel"/>
    <w:tmpl w:val="CEC6F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488F"/>
    <w:multiLevelType w:val="hybridMultilevel"/>
    <w:tmpl w:val="9E9438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33870"/>
    <w:multiLevelType w:val="hybridMultilevel"/>
    <w:tmpl w:val="A61AE02C"/>
    <w:lvl w:ilvl="0" w:tplc="7CF89D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9E24B8"/>
    <w:multiLevelType w:val="hybridMultilevel"/>
    <w:tmpl w:val="CEC6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236AC2"/>
    <w:multiLevelType w:val="hybridMultilevel"/>
    <w:tmpl w:val="C89A6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55040C"/>
    <w:multiLevelType w:val="hybridMultilevel"/>
    <w:tmpl w:val="EDC664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A628A"/>
    <w:multiLevelType w:val="hybridMultilevel"/>
    <w:tmpl w:val="7520B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E0682"/>
    <w:multiLevelType w:val="hybridMultilevel"/>
    <w:tmpl w:val="9D4AA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5"/>
  </w:num>
  <w:num w:numId="4">
    <w:abstractNumId w:val="8"/>
  </w:num>
  <w:num w:numId="5">
    <w:abstractNumId w:val="6"/>
  </w:num>
  <w:num w:numId="6">
    <w:abstractNumId w:val="3"/>
  </w:num>
  <w:num w:numId="7">
    <w:abstractNumId w:val="9"/>
  </w:num>
  <w:num w:numId="8">
    <w:abstractNumId w:val="2"/>
  </w:num>
  <w:num w:numId="9">
    <w:abstractNumId w:val="11"/>
  </w:num>
  <w:num w:numId="10">
    <w:abstractNumId w:val="1"/>
  </w:num>
  <w:num w:numId="11">
    <w:abstractNumId w:val="14"/>
  </w:num>
  <w:num w:numId="12">
    <w:abstractNumId w:val="0"/>
  </w:num>
  <w:num w:numId="13">
    <w:abstractNumId w:val="10"/>
  </w:num>
  <w:num w:numId="14">
    <w:abstractNumId w:val="16"/>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1D4A"/>
    <w:rsid w:val="000031F3"/>
    <w:rsid w:val="000541A6"/>
    <w:rsid w:val="000556CC"/>
    <w:rsid w:val="00063EC5"/>
    <w:rsid w:val="00076626"/>
    <w:rsid w:val="000A018D"/>
    <w:rsid w:val="000A06FA"/>
    <w:rsid w:val="000A5480"/>
    <w:rsid w:val="000A6F01"/>
    <w:rsid w:val="000B244A"/>
    <w:rsid w:val="000C1184"/>
    <w:rsid w:val="000D36AC"/>
    <w:rsid w:val="000D4131"/>
    <w:rsid w:val="000E6830"/>
    <w:rsid w:val="00112166"/>
    <w:rsid w:val="00117725"/>
    <w:rsid w:val="001241E5"/>
    <w:rsid w:val="00126022"/>
    <w:rsid w:val="001323E0"/>
    <w:rsid w:val="001437E0"/>
    <w:rsid w:val="00146A28"/>
    <w:rsid w:val="0016439E"/>
    <w:rsid w:val="00166BFE"/>
    <w:rsid w:val="00167285"/>
    <w:rsid w:val="00171B7B"/>
    <w:rsid w:val="001743E6"/>
    <w:rsid w:val="00183A46"/>
    <w:rsid w:val="001A6563"/>
    <w:rsid w:val="001C7D1F"/>
    <w:rsid w:val="001D03AE"/>
    <w:rsid w:val="001D726F"/>
    <w:rsid w:val="001E0054"/>
    <w:rsid w:val="001E61A5"/>
    <w:rsid w:val="001F6030"/>
    <w:rsid w:val="001F68E9"/>
    <w:rsid w:val="001F72B9"/>
    <w:rsid w:val="00202EA7"/>
    <w:rsid w:val="002044BD"/>
    <w:rsid w:val="00204D71"/>
    <w:rsid w:val="002057D5"/>
    <w:rsid w:val="002203F2"/>
    <w:rsid w:val="00220E8F"/>
    <w:rsid w:val="00223C37"/>
    <w:rsid w:val="00230C7E"/>
    <w:rsid w:val="002506B5"/>
    <w:rsid w:val="00253D2B"/>
    <w:rsid w:val="00280EFF"/>
    <w:rsid w:val="00283B6C"/>
    <w:rsid w:val="00295899"/>
    <w:rsid w:val="00297CB4"/>
    <w:rsid w:val="002B3379"/>
    <w:rsid w:val="002C7D7D"/>
    <w:rsid w:val="002D058C"/>
    <w:rsid w:val="00300847"/>
    <w:rsid w:val="0032312B"/>
    <w:rsid w:val="00326FA5"/>
    <w:rsid w:val="00333EE0"/>
    <w:rsid w:val="003472CF"/>
    <w:rsid w:val="00355004"/>
    <w:rsid w:val="00367085"/>
    <w:rsid w:val="00367B72"/>
    <w:rsid w:val="00375931"/>
    <w:rsid w:val="003929E7"/>
    <w:rsid w:val="00396553"/>
    <w:rsid w:val="003B51E2"/>
    <w:rsid w:val="003E5503"/>
    <w:rsid w:val="003E5761"/>
    <w:rsid w:val="004276A7"/>
    <w:rsid w:val="00427800"/>
    <w:rsid w:val="00427A49"/>
    <w:rsid w:val="00432514"/>
    <w:rsid w:val="00433B0D"/>
    <w:rsid w:val="0043416D"/>
    <w:rsid w:val="004444FF"/>
    <w:rsid w:val="004447AF"/>
    <w:rsid w:val="004619EC"/>
    <w:rsid w:val="00466DB9"/>
    <w:rsid w:val="00470C6D"/>
    <w:rsid w:val="00471692"/>
    <w:rsid w:val="004A609E"/>
    <w:rsid w:val="004C185D"/>
    <w:rsid w:val="004C2780"/>
    <w:rsid w:val="004C6976"/>
    <w:rsid w:val="004D0A1D"/>
    <w:rsid w:val="004D3C56"/>
    <w:rsid w:val="004D7D56"/>
    <w:rsid w:val="004F09A7"/>
    <w:rsid w:val="00500A3A"/>
    <w:rsid w:val="0050731C"/>
    <w:rsid w:val="00512734"/>
    <w:rsid w:val="00535E0C"/>
    <w:rsid w:val="0054290E"/>
    <w:rsid w:val="0055192E"/>
    <w:rsid w:val="0056716B"/>
    <w:rsid w:val="00584BE6"/>
    <w:rsid w:val="005949AC"/>
    <w:rsid w:val="00594D56"/>
    <w:rsid w:val="005A0FB2"/>
    <w:rsid w:val="005A3D9E"/>
    <w:rsid w:val="005A409E"/>
    <w:rsid w:val="005B2ACD"/>
    <w:rsid w:val="005C0C01"/>
    <w:rsid w:val="005F208A"/>
    <w:rsid w:val="00606A4E"/>
    <w:rsid w:val="00626167"/>
    <w:rsid w:val="0064686E"/>
    <w:rsid w:val="00667293"/>
    <w:rsid w:val="00670320"/>
    <w:rsid w:val="0068033E"/>
    <w:rsid w:val="00694A53"/>
    <w:rsid w:val="006A5F6D"/>
    <w:rsid w:val="006B0F2A"/>
    <w:rsid w:val="006B58B8"/>
    <w:rsid w:val="006B7587"/>
    <w:rsid w:val="006C3491"/>
    <w:rsid w:val="006D0032"/>
    <w:rsid w:val="006D3D54"/>
    <w:rsid w:val="006F52D0"/>
    <w:rsid w:val="0070065B"/>
    <w:rsid w:val="00714886"/>
    <w:rsid w:val="00721B6A"/>
    <w:rsid w:val="007270AC"/>
    <w:rsid w:val="0073725A"/>
    <w:rsid w:val="00743BE0"/>
    <w:rsid w:val="0076289D"/>
    <w:rsid w:val="0077027C"/>
    <w:rsid w:val="00771E1C"/>
    <w:rsid w:val="007846E2"/>
    <w:rsid w:val="00784BEE"/>
    <w:rsid w:val="0079716C"/>
    <w:rsid w:val="007A6C38"/>
    <w:rsid w:val="007B41BF"/>
    <w:rsid w:val="007C4818"/>
    <w:rsid w:val="007C7F59"/>
    <w:rsid w:val="007D793C"/>
    <w:rsid w:val="008028B2"/>
    <w:rsid w:val="00811F27"/>
    <w:rsid w:val="008138F8"/>
    <w:rsid w:val="0081540F"/>
    <w:rsid w:val="00835CFB"/>
    <w:rsid w:val="00836FE3"/>
    <w:rsid w:val="0084052E"/>
    <w:rsid w:val="00863A06"/>
    <w:rsid w:val="00864A07"/>
    <w:rsid w:val="00881846"/>
    <w:rsid w:val="008903AC"/>
    <w:rsid w:val="00895143"/>
    <w:rsid w:val="00897837"/>
    <w:rsid w:val="008B5427"/>
    <w:rsid w:val="008B5F71"/>
    <w:rsid w:val="008D2B6B"/>
    <w:rsid w:val="008F1FC1"/>
    <w:rsid w:val="008F3001"/>
    <w:rsid w:val="008F425F"/>
    <w:rsid w:val="008F535F"/>
    <w:rsid w:val="008F7FE4"/>
    <w:rsid w:val="00906201"/>
    <w:rsid w:val="0091583A"/>
    <w:rsid w:val="009171CA"/>
    <w:rsid w:val="00930DF8"/>
    <w:rsid w:val="00944B09"/>
    <w:rsid w:val="009570CB"/>
    <w:rsid w:val="00957204"/>
    <w:rsid w:val="009613BC"/>
    <w:rsid w:val="009668ED"/>
    <w:rsid w:val="009702AB"/>
    <w:rsid w:val="00981DA1"/>
    <w:rsid w:val="00985560"/>
    <w:rsid w:val="00990D6C"/>
    <w:rsid w:val="00996557"/>
    <w:rsid w:val="009C4B8F"/>
    <w:rsid w:val="009C72E0"/>
    <w:rsid w:val="009D0807"/>
    <w:rsid w:val="009F63ED"/>
    <w:rsid w:val="00A00332"/>
    <w:rsid w:val="00A3300B"/>
    <w:rsid w:val="00A44866"/>
    <w:rsid w:val="00A52C76"/>
    <w:rsid w:val="00A530B4"/>
    <w:rsid w:val="00A62514"/>
    <w:rsid w:val="00A72F2D"/>
    <w:rsid w:val="00A8408D"/>
    <w:rsid w:val="00A9145A"/>
    <w:rsid w:val="00A91C4C"/>
    <w:rsid w:val="00A96CC0"/>
    <w:rsid w:val="00AB192E"/>
    <w:rsid w:val="00AC134D"/>
    <w:rsid w:val="00AC6FB5"/>
    <w:rsid w:val="00AD7CCE"/>
    <w:rsid w:val="00AF14AD"/>
    <w:rsid w:val="00AF389D"/>
    <w:rsid w:val="00AF7C07"/>
    <w:rsid w:val="00B30F75"/>
    <w:rsid w:val="00B3181A"/>
    <w:rsid w:val="00B3718F"/>
    <w:rsid w:val="00B440BE"/>
    <w:rsid w:val="00B553B2"/>
    <w:rsid w:val="00B72AB6"/>
    <w:rsid w:val="00B73135"/>
    <w:rsid w:val="00B74850"/>
    <w:rsid w:val="00B75B5E"/>
    <w:rsid w:val="00B7739F"/>
    <w:rsid w:val="00B91D0A"/>
    <w:rsid w:val="00BA6BEB"/>
    <w:rsid w:val="00BB5682"/>
    <w:rsid w:val="00BC2674"/>
    <w:rsid w:val="00BD0681"/>
    <w:rsid w:val="00BD1D17"/>
    <w:rsid w:val="00BD1E9F"/>
    <w:rsid w:val="00BD41EB"/>
    <w:rsid w:val="00BE3C2D"/>
    <w:rsid w:val="00BE58E8"/>
    <w:rsid w:val="00BF2FDF"/>
    <w:rsid w:val="00BF5A03"/>
    <w:rsid w:val="00C02C36"/>
    <w:rsid w:val="00C139A7"/>
    <w:rsid w:val="00C15A62"/>
    <w:rsid w:val="00C2527B"/>
    <w:rsid w:val="00C349DD"/>
    <w:rsid w:val="00C43454"/>
    <w:rsid w:val="00C62A35"/>
    <w:rsid w:val="00C62D81"/>
    <w:rsid w:val="00C65A28"/>
    <w:rsid w:val="00C7143D"/>
    <w:rsid w:val="00C77F34"/>
    <w:rsid w:val="00C87A27"/>
    <w:rsid w:val="00C91079"/>
    <w:rsid w:val="00C92979"/>
    <w:rsid w:val="00CA640D"/>
    <w:rsid w:val="00CB0AC5"/>
    <w:rsid w:val="00CB3765"/>
    <w:rsid w:val="00CB6800"/>
    <w:rsid w:val="00CB7759"/>
    <w:rsid w:val="00CC2891"/>
    <w:rsid w:val="00CC3A6D"/>
    <w:rsid w:val="00CD3F8B"/>
    <w:rsid w:val="00CE19F9"/>
    <w:rsid w:val="00CF64E2"/>
    <w:rsid w:val="00D02F06"/>
    <w:rsid w:val="00D06974"/>
    <w:rsid w:val="00D116FD"/>
    <w:rsid w:val="00D12D9A"/>
    <w:rsid w:val="00D147D4"/>
    <w:rsid w:val="00D20A71"/>
    <w:rsid w:val="00D2594E"/>
    <w:rsid w:val="00D43A6A"/>
    <w:rsid w:val="00D511B0"/>
    <w:rsid w:val="00D63599"/>
    <w:rsid w:val="00D72C24"/>
    <w:rsid w:val="00D741DD"/>
    <w:rsid w:val="00D81425"/>
    <w:rsid w:val="00D81A60"/>
    <w:rsid w:val="00D833E4"/>
    <w:rsid w:val="00D9301F"/>
    <w:rsid w:val="00D94566"/>
    <w:rsid w:val="00D94FD7"/>
    <w:rsid w:val="00DE4BFE"/>
    <w:rsid w:val="00DE56B3"/>
    <w:rsid w:val="00E0315F"/>
    <w:rsid w:val="00E219EB"/>
    <w:rsid w:val="00E40563"/>
    <w:rsid w:val="00E42313"/>
    <w:rsid w:val="00E456A2"/>
    <w:rsid w:val="00E47483"/>
    <w:rsid w:val="00E539C5"/>
    <w:rsid w:val="00E5742D"/>
    <w:rsid w:val="00E62270"/>
    <w:rsid w:val="00E647DE"/>
    <w:rsid w:val="00E64EA7"/>
    <w:rsid w:val="00E842A6"/>
    <w:rsid w:val="00E9207A"/>
    <w:rsid w:val="00E9240C"/>
    <w:rsid w:val="00EC3224"/>
    <w:rsid w:val="00EC4547"/>
    <w:rsid w:val="00ED0136"/>
    <w:rsid w:val="00ED3298"/>
    <w:rsid w:val="00EF313F"/>
    <w:rsid w:val="00EF3DDA"/>
    <w:rsid w:val="00F01075"/>
    <w:rsid w:val="00F34BF2"/>
    <w:rsid w:val="00F42DE5"/>
    <w:rsid w:val="00F56E5A"/>
    <w:rsid w:val="00F60D2E"/>
    <w:rsid w:val="00F62BCC"/>
    <w:rsid w:val="00FA160B"/>
    <w:rsid w:val="00FA22FF"/>
    <w:rsid w:val="00FA416D"/>
    <w:rsid w:val="00FA5B2C"/>
    <w:rsid w:val="00FB5156"/>
    <w:rsid w:val="00FB58E8"/>
    <w:rsid w:val="00FC15E0"/>
    <w:rsid w:val="00FD1153"/>
    <w:rsid w:val="00FD75C8"/>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0F1AE7A8"/>
  <w15:docId w15:val="{4EFBED8B-671B-4785-A20F-AAE039BB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h-healthpoint.hdwa.health.wa.gov.au/directory/Clinical%20Services%20and%20Research/Patient%20Safety%20Clinical%20Quality/PSSU/Pages/Feedback.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SSU@health.w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2.health.wa.gov.au/About-us/Policy-frameworks/Clinical-Governance-Safety-and-Quality"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2.health.wa.gov.au/About-us/Policy-frameworks/Clinical-Governance-Safety-and-Quality/Mandatory-requirements/WA-Health-Complaint-Management-Policy" TargetMode="External"/><Relationship Id="rId20" Type="http://schemas.openxmlformats.org/officeDocument/2006/relationships/hyperlink" Target="mailto:PSSU@health.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SSU@health.wa.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SSU@health.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65F2-2A9B-478F-9A01-9A9B622EDFC1}">
  <ds:schemaRef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27742FD-396B-4F91-925F-C4502471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AEE96C-3958-44BB-8C85-514A74C30A74}">
  <ds:schemaRefs>
    <ds:schemaRef ds:uri="http://schemas.microsoft.com/sharepoint/v3/contenttype/forms"/>
  </ds:schemaRefs>
</ds:datastoreItem>
</file>

<file path=customXml/itemProps4.xml><?xml version="1.0" encoding="utf-8"?>
<ds:datastoreItem xmlns:ds="http://schemas.openxmlformats.org/officeDocument/2006/customXml" ds:itemID="{2E5F08A7-7920-44FC-8001-D7C3ABF0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15910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Woolley, Susan</cp:lastModifiedBy>
  <cp:revision>3</cp:revision>
  <cp:lastPrinted>2014-03-21T07:23:00Z</cp:lastPrinted>
  <dcterms:created xsi:type="dcterms:W3CDTF">2019-05-15T07:03:00Z</dcterms:created>
  <dcterms:modified xsi:type="dcterms:W3CDTF">2019-05-15T07:04:00Z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